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spacing w:before="2520" w:after="360"/>
        <w:jc w:val="center"/>
      </w:pPr>
      <w:r>
        <w:rPr>
          <w:rFonts w:ascii="Calibri" w:hAnsi="Calibri" w:cs="Calibri"/>
          <w:b/>
          <w:i w:val="0"/>
          <w:color w:val="7A5A00"/>
          <w:sz w:val="24"/>
          <w:lang w:val="fr-FR" w:eastAsia="fr-FR" w:bidi="fr-FR"/>
        </w:rPr>
        <w:t>RENTALDRIVEGO</w:t>
      </w:r>
    </w:p>
    <w:p>
      <w:pPr>
        <w:keepLines/>
        <w:spacing w:after="240"/>
        <w:jc w:val="center"/>
      </w:pPr>
      <w:r>
        <w:rPr>
          <w:rFonts w:ascii="Calibri" w:hAnsi="Calibri" w:cs="Calibri"/>
          <w:b/>
          <w:i w:val="0"/>
          <w:color w:val="203748"/>
          <w:sz w:val="60"/>
          <w:lang w:val="fr-FR" w:eastAsia="fr-FR" w:bidi="fr-FR"/>
        </w:rPr>
        <w:t>Architecture technique et</w:t>
        <w:br/>
        <w:t>diligence raisonnable investisseur</w:t>
      </w:r>
    </w:p>
    <w:p>
      <w:pPr>
        <w:keepLines/>
        <w:spacing w:after="560"/>
        <w:jc w:val="center"/>
      </w:pPr>
      <w:r>
        <w:rPr>
          <w:rFonts w:ascii="Calibri" w:hAnsi="Calibri" w:cs="Calibri"/>
          <w:b w:val="0"/>
          <w:i w:val="0"/>
          <w:color w:val="1F4D78"/>
          <w:sz w:val="30"/>
          <w:lang w:val="fr-FR" w:eastAsia="fr-FR" w:bidi="fr-FR"/>
        </w:rPr>
        <w:t>Une évaluation étayée par le code du périmètre produit, de la conception du système, de la sécurité,</w:t>
        <w:br/>
        <w:t>de la préparation opérationnelle, de l'évolutivité et du risque d'investissement</w:t>
      </w:r>
    </w:p>
    <w:p>
      <w:pPr>
        <w:keepLines w:val="0"/>
        <w:spacing w:after="1720"/>
        <w:jc w:val="center"/>
      </w:pPr>
      <w:r>
        <w:rPr>
          <w:rFonts w:ascii="Calibri" w:hAnsi="Calibri" w:cs="Calibri"/>
          <w:b w:val="0"/>
          <w:i w:val="0"/>
          <w:color w:val="7A5A00"/>
          <w:sz w:val="21"/>
          <w:lang w:val="fr-FR" w:eastAsia="fr-FR" w:bidi="fr-FR"/>
        </w:rPr>
        <w:t>—  Revue du code source et note d'investissement technique  —</w:t>
      </w:r>
    </w:p>
    <w:p>
      <w:pPr>
        <w:keepLines w:val="0"/>
        <w:spacing w:after="100"/>
        <w:jc w:val="center"/>
      </w:pPr>
      <w:r>
        <w:rPr>
          <w:rFonts w:ascii="Calibri" w:hAnsi="Calibri" w:cs="Calibri"/>
          <w:b/>
          <w:i w:val="0"/>
          <w:color w:val="203748"/>
          <w:sz w:val="24"/>
          <w:lang w:val="fr-FR" w:eastAsia="fr-FR" w:bidi="fr-FR"/>
        </w:rPr>
        <w:t>Version 1.0  •  9 août 2026</w:t>
      </w:r>
    </w:p>
    <w:p>
      <w:pPr>
        <w:keepLines w:val="0"/>
        <w:spacing w:after="160"/>
        <w:jc w:val="center"/>
      </w:pPr>
      <w:r>
        <w:rPr>
          <w:rFonts w:ascii="Calibri" w:hAnsi="Calibri" w:cs="Calibri"/>
          <w:b w:val="0"/>
          <w:i/>
          <w:color w:val="667085"/>
          <w:sz w:val="19"/>
          <w:lang w:val="fr-FR" w:eastAsia="fr-FR" w:bidi="fr-FR"/>
        </w:rPr>
        <w:t>Préparé à partir de l'archive source car_management fournie</w:t>
      </w:r>
    </w:p>
    <w:p>
      <w:pPr>
        <w:keepLines w:val="0"/>
        <w:spacing w:after="0"/>
        <w:jc w:val="center"/>
      </w:pPr>
      <w:r>
        <w:rPr>
          <w:rFonts w:ascii="Calibri" w:hAnsi="Calibri" w:cs="Calibri"/>
          <w:b/>
          <w:i w:val="0"/>
          <w:color w:val="9B1C1C"/>
          <w:sz w:val="18"/>
          <w:lang w:val="fr-FR" w:eastAsia="fr-FR" w:bidi="fr-FR"/>
        </w:rPr>
        <w:t>CONFIDENTIEL</w:t>
      </w:r>
    </w:p>
    <w:p>
      <w:r>
        <w:rPr>
          <w:lang w:val="fr-FR" w:eastAsia="fr-FR" w:bidi="fr-FR"/>
        </w:rPr>
        <w:br w:type="page"/>
      </w:r>
    </w:p>
    <w:p>
      <w:pPr>
        <w:pStyle w:val="Heading1"/>
      </w:pPr>
      <w:r>
        <w:rPr>
          <w:lang w:val="fr-FR" w:eastAsia="fr-FR" w:bidi="fr-FR"/>
        </w:rPr>
        <w:t>Évaluation exécutive</w:t>
      </w:r>
    </w:p>
    <w:p>
      <w:pPr>
        <w:keepLines/>
        <w:spacing w:before="100" w:after="200"/>
        <w:ind w:left="173" w:right="115"/>
        <w:shd w:fill="FFF6D8"/>
        <w:pBdr>
          <w:left w:val="single" w:sz="20" w:space="8" w:color="7A5A00"/>
        </w:pBdr>
      </w:pPr>
      <w:r>
        <w:rPr>
          <w:rFonts w:ascii="Calibri" w:hAnsi="Calibri" w:cs="Calibri"/>
          <w:b/>
          <w:color w:val="7A5A00"/>
          <w:lang w:val="fr-FR" w:eastAsia="fr-FR" w:bidi="fr-FR"/>
        </w:rPr>
        <w:t xml:space="preserve">Conclusion essentielle  </w:t>
      </w:r>
      <w:r>
        <w:rPr>
          <w:rFonts w:ascii="Calibri" w:hAnsi="Calibri" w:cs="Calibri"/>
          <w:color w:val="101828"/>
          <w:lang w:val="fr-FR" w:eastAsia="fr-FR" w:bidi="fr-FR"/>
        </w:rPr>
        <w:t>RentalDriveGo est une plateforme pré-scale sérieuse : un monorepo multi-applications couvrant largement la gestion locative orientée vers le marché marocain, doté d'une API modulaire, d'un modèle relationnel mature et de contrôles de sécurité substantiels. Le package fourni n'est toutefois pas prêt, à ce jour, pour une diligence de production : l'enveloppe de build et de déploiement est incomplète, le risque lié aux dépendances est significatif et plusieurs sous-systèmes critiques pour le passage à l'échelle sont soit locaux au processus, soit inachevés, soit non démontrés.</w:t>
      </w:r>
    </w:p>
    <w:p>
      <w:pPr>
        <w:keepLines w:val="0"/>
      </w:pPr>
      <w:r>
        <w:rPr>
          <w:rFonts w:ascii="Calibri" w:hAnsi="Calibri" w:cs="Calibri"/>
          <w:b w:val="0"/>
          <w:i w:val="0"/>
          <w:lang w:val="fr-FR" w:eastAsia="fr-FR" w:bidi="fr-FR"/>
        </w:rPr>
        <w:t>Le code révèle une profondeur produit supérieure à celle d'un prototype classique de phase initiale. Il comprend cinq applications web, une API de 21 modules, 67 modèles de données, 49 répertoires de migration, 268 gestionnaires de routes à l'exécution, des interfaces trilingues, une authentification multi-acteurs, des logiques de facturation et d'abonnement, des parcours de place de marché publique ainsi que des intégrations avec trois familles de paiement. Il s'agit d'une base produit crédible.</w:t>
      </w:r>
    </w:p>
    <w:p>
      <w:pPr>
        <w:keepLines w:val="0"/>
      </w:pPr>
      <w:r>
        <w:rPr>
          <w:rFonts w:ascii="Calibri" w:hAnsi="Calibri" w:cs="Calibri"/>
          <w:b w:val="0"/>
          <w:i w:val="0"/>
          <w:lang w:val="fr-FR" w:eastAsia="fr-FR" w:bidi="fr-FR"/>
        </w:rPr>
        <w:t>La thèse d'investissement ne doit donc pas être formulée comme « le logiciel est terminé ». Le cadrage exact est le suivant : le cœur du produit et l'architecture des données existent ; le prochain jalon de financement consiste à transformer cette ampleur fonctionnelle en un système de production reproductible, sécurisé, observable et sûr en mise à l'échelle horizontale. Le point de diligence le plus important est l'écart entre l'étendue visible des fonctionnalités et la préparation opérationnelle réellement déployable.</w:t>
      </w:r>
    </w:p>
    <w:p>
      <w:pPr>
        <w:pStyle w:val="Heading2"/>
      </w:pPr>
      <w:r>
        <w:rPr>
          <w:lang w:val="fr-FR" w:eastAsia="fr-FR" w:bidi="fr-FR"/>
        </w:rPr>
        <w:t>Lecture pour l'investisseur</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650"/>
        <w:gridCol w:w="1450"/>
        <w:gridCol w:w="6260"/>
      </w:tblGrid>
      <w:tr>
        <w:trPr>
          <w:tblHeader w:val="true"/>
          <w:cantSplit/>
        </w:trPr>
        <w:tc>
          <w:tcPr>
            <w:tcW w:type="dxa" w:w="16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Dimension</w:t>
            </w:r>
          </w:p>
        </w:tc>
        <w:tc>
          <w:tcPr>
            <w:tcW w:type="dxa" w:w="14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Évaluation</w:t>
            </w:r>
          </w:p>
        </w:tc>
        <w:tc>
          <w:tcPr>
            <w:tcW w:type="dxa" w:w="62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Lecture pour l'investisseur</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Étendue du produit</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Forte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Cinq surfaces distinctes couvrent l'acquisition, la place de marché, les opérations des tenants, l'administration de la plateforme et les flux API.</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Profondeur métier</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Forte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Flotte, réservations, clients, contrats, tarification, assurance, dommages, réclamations, avis, facturation et notifications sont représentés dans le code et les données.</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Cohérence de l'architecture</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Modérée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Le modèle de monolithe modulaire est approprié, mais les préoccupations transverses sont dupliquées et plusieurs chemins anciens/récents coexistent.</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Conception de la sécurité</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Modérée à forte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Les contrôles de tenant et de rôles, CSRF, 2FA, la validation des téléversements, la vérification des webhooks et le stockage privé sont réels ; la gouvernance et l'hygiène des dépendances sont en retard.</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Reproductibilité de la livraison</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Faible dans le package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Les artefacts requis Turbo, base TypeScript, scripts, Compose, sauvegarde et amorçage administrateur sont référencés mais absents.</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Préparation à l'échelle</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Précoce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Le stockage local, les limites/l'idempotence en mémoire, les tâches cron embarquées et l'absence de worker d'outbox limitent une mise à l'échelle horizontale sûre.</w:t>
            </w:r>
          </w:p>
        </w:tc>
      </w:tr>
      <w:tr>
        <w:trPr>
          <w:cantSplit/>
        </w:trPr>
        <w:tc>
          <w:tcPr>
            <w:tcW w:type="dxa" w:w="1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Maturité opérationnelle</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Précoce</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Aucune preuve complète de CI, métriques, traçage, SLO, préparation, arrêt gracieux ou reprise après sinistre testée n'a été fournie.</w:t>
            </w:r>
          </w:p>
        </w:tc>
      </w:tr>
    </w:tbl>
    <w:p>
      <w:pPr>
        <w:spacing w:after="20"/>
      </w:pPr>
    </w:p>
    <w:p>
      <w:pPr>
        <w:spacing w:before="80" w:after="80"/>
      </w:pPr>
      <w:r>
        <w:rPr>
          <w:rFonts w:ascii="Calibri" w:hAnsi="Calibri" w:cs="Calibri"/>
          <w:i/>
          <w:color w:val="667085"/>
          <w:sz w:val="17"/>
          <w:lang w:val="fr-FR" w:eastAsia="fr-FR" w:bidi="fr-FR"/>
        </w:rPr>
        <w:t>Éléments probants : manifestes du dépôt, sources applicatives, schéma et migrations Prisma, inventaire des routes, contrôles statiques et audit des dépendances réalisés le 9 août 2026.</w:t>
      </w:r>
    </w:p>
    <w:p>
      <w:pPr>
        <w:pStyle w:val="Heading2"/>
      </w:pPr>
      <w:r>
        <w:rPr>
          <w:lang w:val="fr-FR" w:eastAsia="fr-FR" w:bidi="fr-FR"/>
        </w:rPr>
        <w:t>Recommandation</w:t>
      </w:r>
    </w:p>
    <w:p>
      <w:pPr>
        <w:keepLines/>
        <w:numPr>
          <w:ilvl w:val="0"/>
          <w:numId w:val="10"/>
        </w:numPr>
        <w:spacing w:after="160" w:line="280" w:lineRule="auto"/>
      </w:pPr>
      <w:r>
        <w:rPr>
          <w:rFonts w:ascii="Calibri" w:hAnsi="Calibri" w:cs="Calibri"/>
          <w:lang w:val="fr-FR" w:eastAsia="fr-FR" w:bidi="fr-FR"/>
        </w:rPr>
        <w:t>Considérer l'actif actuel comme une version bêta compétente / une plateforme pré-scale, et non comme un parc SaaS durci pour la production.</w:t>
      </w:r>
    </w:p>
    <w:p>
      <w:pPr>
        <w:keepLines/>
        <w:numPr>
          <w:ilvl w:val="0"/>
          <w:numId w:val="10"/>
        </w:numPr>
        <w:spacing w:after="160" w:line="280" w:lineRule="auto"/>
      </w:pPr>
      <w:r>
        <w:rPr>
          <w:rFonts w:ascii="Calibri" w:hAnsi="Calibri" w:cs="Calibri"/>
          <w:lang w:val="fr-FR" w:eastAsia="fr-FR" w:bidi="fr-FR"/>
        </w:rPr>
        <w:t>Conditionner toute affirmation de production ou de passage à l'échelle à un court jalon de durcissement technique : build CI reproductible, dépendances assainies, infrastructure d'état partagée, finalisation des workers d'arrière-plan et preuves de restauration.</w:t>
      </w:r>
    </w:p>
    <w:p>
      <w:pPr>
        <w:keepLines/>
        <w:numPr>
          <w:ilvl w:val="0"/>
          <w:numId w:val="10"/>
        </w:numPr>
        <w:spacing w:after="160" w:line="280" w:lineRule="auto"/>
      </w:pPr>
      <w:r>
        <w:rPr>
          <w:rFonts w:ascii="Calibri" w:hAnsi="Calibri" w:cs="Calibri"/>
          <w:lang w:val="fr-FR" w:eastAsia="fr-FR" w:bidi="fr-FR"/>
        </w:rPr>
        <w:t>Conserver pour l'instant le monolithe modulaire. Découper les services avant de corriger les fondations opérationnelles augmenterait le coût de coordination sans supprimer les goulets d'étranglement actuels.</w:t>
      </w:r>
    </w:p>
    <w:p>
      <w:pPr>
        <w:keepLines/>
        <w:numPr>
          <w:ilvl w:val="0"/>
          <w:numId w:val="10"/>
        </w:numPr>
        <w:spacing w:after="160" w:line="280" w:lineRule="auto"/>
      </w:pPr>
      <w:r>
        <w:rPr>
          <w:rFonts w:ascii="Calibri" w:hAnsi="Calibri" w:cs="Calibri"/>
          <w:lang w:val="fr-FR" w:eastAsia="fr-FR" w:bidi="fr-FR"/>
        </w:rPr>
        <w:t>Financer un programme de préparation à la production sur 90 jours, assorti de critères de sortie explicites et fondés sur des preuves, puis ne réévaluer l'extraction de services qu'à partir de la charge mesurée et des frontières organisationnelles.</w:t>
      </w:r>
    </w:p>
    <w:p>
      <w:pPr>
        <w:pStyle w:val="Heading2"/>
      </w:pPr>
      <w:r>
        <w:rPr>
          <w:lang w:val="fr-FR" w:eastAsia="fr-FR" w:bidi="fr-FR"/>
        </w:rPr>
        <w:t>Synthèse des constats significatifs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700"/>
        <w:gridCol w:w="4550"/>
        <w:gridCol w:w="4110"/>
      </w:tblGrid>
      <w:tr>
        <w:trPr>
          <w:tblHeader w:val="true"/>
          <w:cantSplit/>
        </w:trPr>
        <w:tc>
          <w:tcPr>
            <w:tcW w:type="dxa" w:w="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Priorité</w:t>
            </w:r>
          </w:p>
        </w:tc>
        <w:tc>
          <w:tcPr>
            <w:tcW w:type="dxa" w:w="45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Constat</w:t>
            </w:r>
          </w:p>
        </w:tc>
        <w:tc>
          <w:tcPr>
            <w:tcW w:type="dxa" w:w="411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Pourquoi c'est important</w:t>
            </w:r>
          </w:p>
        </w:tc>
      </w:tr>
      <w:tr>
        <w:trPr>
          <w:cantSplit/>
        </w:trPr>
        <w:tc>
          <w:tcPr>
            <w:tcW w:type="dxa" w:w="7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P0</w:t>
            </w:r>
          </w:p>
        </w:tc>
        <w:tc>
          <w:tcPr>
            <w:tcW w:type="dxa" w:w="45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L'archive ne peut pas exécuter son parcours déclaré de build/vérification de types du monorepo, car turbo.json et tsconfig.base.json sont absents.</w:t>
            </w:r>
          </w:p>
        </w:tc>
        <w:tc>
          <w:tcPr>
            <w:tcW w:type="dxa" w:w="411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 acquéreur ne peut ni reproduire ni attester l'artefact livré.</w:t>
            </w:r>
          </w:p>
        </w:tc>
      </w:tr>
      <w:tr>
        <w:trPr>
          <w:cantSplit/>
        </w:trPr>
        <w:tc>
          <w:tcPr>
            <w:tcW w:type="dxa" w:w="7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P0</w:t>
            </w:r>
          </w:p>
        </w:tc>
        <w:tc>
          <w:tcPr>
            <w:tcW w:type="dxa" w:w="45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 audit actuel des dépendances de production a signalé 21 vulnérabilités : 1 critique, 14 élevées, 5 modérées et 1 faible.</w:t>
            </w:r>
          </w:p>
        </w:tc>
        <w:tc>
          <w:tcPr>
            <w:tcW w:type="dxa" w:w="411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L'exposition de sécurité et les frictions de diligence sont immédiates.</w:t>
            </w:r>
          </w:p>
        </w:tc>
      </w:tr>
      <w:tr>
        <w:trPr>
          <w:cantSplit/>
        </w:trPr>
        <w:tc>
          <w:tcPr>
            <w:tcW w:type="dxa" w:w="7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P0</w:t>
            </w:r>
          </w:p>
        </w:tc>
        <w:tc>
          <w:tcPr>
            <w:tcW w:type="dxa" w:w="45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 code d'orchestration des conteneurs par tenant attend un modèle de base et une surface API inexistants ; la migration est un placeholder.</w:t>
            </w:r>
          </w:p>
        </w:tc>
        <w:tc>
          <w:tcPr>
            <w:tcW w:type="dxa" w:w="411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 capacité n'est pas fonctionnelle et la frontière de confiance prévue autour de la socket Docker serait hautement privilégiée.</w:t>
            </w:r>
          </w:p>
        </w:tc>
      </w:tr>
      <w:tr>
        <w:trPr>
          <w:cantSplit/>
        </w:trPr>
        <w:tc>
          <w:tcPr>
            <w:tcW w:type="dxa" w:w="7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P1</w:t>
            </w:r>
          </w:p>
        </w:tc>
        <w:tc>
          <w:tcPr>
            <w:tcW w:type="dxa" w:w="45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Une outbox durable de notifications est modélisée et alimentée, mais aucun dispatcher/worker n'a été trouvé.</w:t>
            </w:r>
          </w:p>
        </w:tc>
        <w:tc>
          <w:tcPr>
            <w:tcW w:type="dxa" w:w="411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enregistrements de livraison peuvent s'accumuler sans livraison fournisseur ni diffusion temps réel.</w:t>
            </w:r>
          </w:p>
        </w:tc>
      </w:tr>
      <w:tr>
        <w:trPr>
          <w:cantSplit/>
        </w:trPr>
        <w:tc>
          <w:tcPr>
            <w:tcW w:type="dxa" w:w="7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P1</w:t>
            </w:r>
          </w:p>
        </w:tc>
        <w:tc>
          <w:tcPr>
            <w:tcW w:type="dxa" w:w="45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limites de débit, certaines idempotences, les travaux planifiés et le stockage de fichiers sont locaux au processus.</w:t>
            </w:r>
          </w:p>
        </w:tc>
        <w:tc>
          <w:tcPr>
            <w:tcW w:type="dxa" w:w="411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répliques horizontales peuvent dupliquer le travail, perdre la coordination et servir des fichiers incohérents.</w:t>
            </w:r>
          </w:p>
        </w:tc>
      </w:tr>
      <w:tr>
        <w:trPr>
          <w:cantSplit/>
        </w:trPr>
        <w:tc>
          <w:tcPr>
            <w:tcW w:type="dxa" w:w="7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P1</w:t>
            </w:r>
          </w:p>
        </w:tc>
        <w:tc>
          <w:tcPr>
            <w:tcW w:type="dxa" w:w="45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Aucune preuve complète de CI/CD, observabilité, préparation, arrêt gracieux, sauvegarde/restauration ou test de reprise n'a été fournie.</w:t>
            </w:r>
          </w:p>
        </w:tc>
        <w:tc>
          <w:tcPr>
            <w:tcW w:type="dxa" w:w="411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opérations de production ne peuvent pas être validées indépendamment.</w:t>
            </w:r>
          </w:p>
        </w:tc>
      </w:tr>
    </w:tbl>
    <w:p>
      <w:pPr>
        <w:spacing w:after="20"/>
      </w:pPr>
    </w:p>
    <w:p>
      <w:pPr>
        <w:pStyle w:val="Heading1"/>
        <w:pageBreakBefore/>
      </w:pPr>
      <w:r>
        <w:rPr>
          <w:lang w:val="fr-FR" w:eastAsia="fr-FR" w:bidi="fr-FR"/>
        </w:rPr>
        <w:t>Fondement du document et méthode de diligence</w:t>
      </w:r>
    </w:p>
    <w:p>
      <w:pPr>
        <w:keepLines w:val="0"/>
      </w:pPr>
      <w:r>
        <w:rPr>
          <w:rFonts w:ascii="Calibri" w:hAnsi="Calibri" w:cs="Calibri"/>
          <w:b w:val="0"/>
          <w:i w:val="0"/>
          <w:lang w:val="fr-FR" w:eastAsia="fr-FR" w:bidi="fr-FR"/>
        </w:rPr>
        <w:t>Le présent document est un rapport de diligence technique, et non une déclaration de la direction, un test d'intrusion, un avis juridique, une certification de confidentialité, un audit financier ou une évaluation d'un environnement de production actif. Ses conclusions se limitent au contenu de l'archive fournie et aux vérifications locales réalisées de manière sûre.</w:t>
      </w:r>
    </w:p>
    <w:p>
      <w:pPr>
        <w:pStyle w:val="Heading2"/>
      </w:pPr>
      <w:r>
        <w:rPr>
          <w:lang w:val="fr-FR" w:eastAsia="fr-FR" w:bidi="fr-FR"/>
        </w:rPr>
        <w:t>Norme de preuve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300"/>
        <w:gridCol w:w="3330"/>
        <w:gridCol w:w="4730"/>
      </w:tblGrid>
      <w:tr>
        <w:trPr>
          <w:tblHeader w:val="true"/>
          <w:cantSplit/>
        </w:trPr>
        <w:tc>
          <w:tcPr>
            <w:tcW w:type="dxa" w:w="13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Libellé</w:t>
            </w:r>
          </w:p>
        </w:tc>
        <w:tc>
          <w:tcPr>
            <w:tcW w:type="dxa" w:w="33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Signification</w:t>
            </w:r>
          </w:p>
        </w:tc>
        <w:tc>
          <w:tcPr>
            <w:tcW w:type="dxa" w:w="47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Utilisation dans ce rapport</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Vérifié</w:t>
            </w:r>
          </w:p>
        </w:tc>
        <w:tc>
          <w:tcPr>
            <w:tcW w:type="dxa" w:w="33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Directement présent dans le code source, le schéma, les migrations, la configuration ou la sortie de commande.</w:t>
            </w:r>
          </w:p>
        </w:tc>
        <w:tc>
          <w:tcPr>
            <w:tcW w:type="dxa" w:w="47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Utilisé pour l'architecture, les nombres de routes/modèles, les contrôles, les dépendances et les lacunes du package.</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Inféré</w:t>
            </w:r>
          </w:p>
        </w:tc>
        <w:tc>
          <w:tcPr>
            <w:tcW w:type="dxa" w:w="33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Fortement suggéré par les chemins ou noms de code, sans démonstration de bout en bout.</w:t>
            </w:r>
          </w:p>
        </w:tc>
        <w:tc>
          <w:tcPr>
            <w:tcW w:type="dxa" w:w="47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Utilisé avec prudence pour l'intention opérationnelle, par exemple les classes de documents privés et la topologie de déploiement.</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Non démontré</w:t>
            </w:r>
          </w:p>
        </w:tc>
        <w:tc>
          <w:tcPr>
            <w:tcW w:type="dxa" w:w="33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Attendu dans un système de production mature, mais absent du package fourni.</w:t>
            </w:r>
          </w:p>
        </w:tc>
        <w:tc>
          <w:tcPr>
            <w:tcW w:type="dxa" w:w="47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Utilisé pour les lacunes de CI/CD, reprise après sinistre, métriques/traçage, topologie de production et gouvernance.</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Jugement</w:t>
            </w:r>
          </w:p>
        </w:tc>
        <w:tc>
          <w:tcPr>
            <w:tcW w:type="dxa" w:w="33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Conclusion d'analyste fondée sur des preuves vérifiées et des pratiques d'ingénierie reconnues.</w:t>
            </w:r>
          </w:p>
        </w:tc>
        <w:tc>
          <w:tcPr>
            <w:tcW w:type="dxa" w:w="47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Utilisé pour la maturité, le risque d'investissement, le séquencement et les recommandations de feuille de route.</w:t>
            </w:r>
          </w:p>
        </w:tc>
      </w:tr>
    </w:tbl>
    <w:p>
      <w:pPr>
        <w:spacing w:after="20"/>
      </w:pPr>
    </w:p>
    <w:p>
      <w:pPr>
        <w:pStyle w:val="Heading2"/>
      </w:pPr>
      <w:r>
        <w:rPr>
          <w:lang w:val="fr-FR" w:eastAsia="fr-FR" w:bidi="fr-FR"/>
        </w:rPr>
        <w:t>Travaux de revue</w:t>
      </w:r>
    </w:p>
    <w:p>
      <w:pPr>
        <w:keepLines/>
        <w:numPr>
          <w:ilvl w:val="0"/>
          <w:numId w:val="10"/>
        </w:numPr>
        <w:spacing w:after="160" w:line="280" w:lineRule="auto"/>
      </w:pPr>
      <w:r>
        <w:rPr>
          <w:rFonts w:ascii="Calibri" w:hAnsi="Calibri" w:cs="Calibri"/>
          <w:lang w:val="fr-FR" w:eastAsia="fr-FR" w:bidi="fr-FR"/>
        </w:rPr>
        <w:t>Validation des chemins des entrées ZIP avant extraction ; exclusion des caches de build générés et des dossiers de dépendances de la copie de travail examinée.</w:t>
      </w:r>
    </w:p>
    <w:p>
      <w:pPr>
        <w:keepLines/>
        <w:numPr>
          <w:ilvl w:val="0"/>
          <w:numId w:val="10"/>
        </w:numPr>
        <w:spacing w:after="160" w:line="280" w:lineRule="auto"/>
      </w:pPr>
      <w:r>
        <w:rPr>
          <w:rFonts w:ascii="Calibri" w:hAnsi="Calibri" w:cs="Calibri"/>
          <w:lang w:val="fr-FR" w:eastAsia="fr-FR" w:bidi="fr-FR"/>
        </w:rPr>
        <w:t>Inventaire des applications, espaces de travail, manifestes de packages, sources TypeScript, suites de tests, routes d'exécution, schéma de base de données et migrations.</w:t>
      </w:r>
    </w:p>
    <w:p>
      <w:pPr>
        <w:keepLines/>
        <w:numPr>
          <w:ilvl w:val="0"/>
          <w:numId w:val="10"/>
        </w:numPr>
        <w:spacing w:after="160" w:line="280" w:lineRule="auto"/>
      </w:pPr>
      <w:r>
        <w:rPr>
          <w:rFonts w:ascii="Calibri" w:hAnsi="Calibri" w:cs="Calibri"/>
          <w:lang w:val="fr-FR" w:eastAsia="fr-FR" w:bidi="fr-FR"/>
        </w:rPr>
        <w:t>Traçage de l'authentification, de l'isolation des tenants, des autorisations, des contrôles d'abonnement, des réservations, des paiements, des webhooks, des notifications, du stockage de fichiers, des événements temps réel et des travaux planifiés.</w:t>
      </w:r>
    </w:p>
    <w:p>
      <w:pPr>
        <w:keepLines/>
        <w:numPr>
          <w:ilvl w:val="0"/>
          <w:numId w:val="10"/>
        </w:numPr>
        <w:spacing w:after="160" w:line="280" w:lineRule="auto"/>
      </w:pPr>
      <w:r>
        <w:rPr>
          <w:rFonts w:ascii="Calibri" w:hAnsi="Calibri" w:cs="Calibri"/>
          <w:lang w:val="fr-FR" w:eastAsia="fr-FR" w:bidi="fr-FR"/>
        </w:rPr>
        <w:t>Exécution des parcours déclarés de vérification des types du monorepo et des workspaces, du lint de la page d'accueil, des lanceurs de tests front-end avec délais contrôlés et d'un audit des dépendances de production.</w:t>
      </w:r>
    </w:p>
    <w:p>
      <w:pPr>
        <w:keepLines/>
        <w:numPr>
          <w:ilvl w:val="0"/>
          <w:numId w:val="10"/>
        </w:numPr>
        <w:spacing w:after="160" w:line="280" w:lineRule="auto"/>
      </w:pPr>
      <w:r>
        <w:rPr>
          <w:rFonts w:ascii="Calibri" w:hAnsi="Calibri" w:cs="Calibri"/>
          <w:lang w:val="fr-FR" w:eastAsia="fr-FR" w:bidi="fr-FR"/>
        </w:rPr>
        <w:t>Comparaison, à des fins de cohérence, du comportement produit annoncé, des constantes tarifaires partagées, du comportement de l'API, des contraintes de base de données et des scripts opérationnels.</w:t>
      </w:r>
    </w:p>
    <w:p>
      <w:pPr>
        <w:pStyle w:val="Heading2"/>
      </w:pPr>
      <w:r>
        <w:rPr>
          <w:lang w:val="fr-FR" w:eastAsia="fr-FR" w:bidi="fr-FR"/>
        </w:rPr>
        <w:t>Limites de la revue</w:t>
      </w:r>
    </w:p>
    <w:p>
      <w:pPr>
        <w:keepLines/>
        <w:numPr>
          <w:ilvl w:val="0"/>
          <w:numId w:val="10"/>
        </w:numPr>
        <w:spacing w:after="160" w:line="280" w:lineRule="auto"/>
      </w:pPr>
      <w:r>
        <w:rPr>
          <w:rFonts w:ascii="Calibri" w:hAnsi="Calibri" w:cs="Calibri"/>
          <w:lang w:val="fr-FR" w:eastAsia="fr-FR" w:bidi="fr-FR"/>
        </w:rPr>
        <w:t>Aucun environnement de production, compte cloud, contenu de base de données, trafic réel, gestionnaire de secrets, tableau de bord de paiement, configuration DNS/TLS ou plateforme de supervision n'a été fourni.</w:t>
      </w:r>
    </w:p>
    <w:p>
      <w:pPr>
        <w:keepLines/>
        <w:numPr>
          <w:ilvl w:val="0"/>
          <w:numId w:val="10"/>
        </w:numPr>
        <w:spacing w:after="160" w:line="280" w:lineRule="auto"/>
      </w:pPr>
      <w:r>
        <w:rPr>
          <w:rFonts w:ascii="Calibri" w:hAnsi="Calibri" w:cs="Calibri"/>
          <w:lang w:val="fr-FR" w:eastAsia="fr-FR" w:bidi="fr-FR"/>
        </w:rPr>
        <w:t>Aucun entretien avec les parties prenantes, donnée de chiffre d'affaires, indicateur d'adoption client, historique d'incidents, accord de traitement des données ou politique de sécurité n'a été examiné.</w:t>
      </w:r>
    </w:p>
    <w:p>
      <w:pPr>
        <w:keepLines/>
        <w:numPr>
          <w:ilvl w:val="0"/>
          <w:numId w:val="10"/>
        </w:numPr>
        <w:spacing w:after="160" w:line="280" w:lineRule="auto"/>
      </w:pPr>
      <w:r>
        <w:rPr>
          <w:rFonts w:ascii="Calibri" w:hAnsi="Calibri" w:cs="Calibri"/>
          <w:lang w:val="fr-FR" w:eastAsia="fr-FR" w:bidi="fr-FR"/>
        </w:rPr>
        <w:t>Le package semble incomplet au regard de ses propres scripts. Les fichiers manquants peuvent exister ailleurs ; tant qu'ils ne sont pas fournis et reproduits indépendamment, ils ne peuvent étayer une affirmation de diligence.</w:t>
      </w:r>
    </w:p>
    <w:p>
      <w:pPr>
        <w:keepLines/>
        <w:numPr>
          <w:ilvl w:val="0"/>
          <w:numId w:val="10"/>
        </w:numPr>
        <w:spacing w:after="160" w:line="280" w:lineRule="auto"/>
      </w:pPr>
      <w:r>
        <w:rPr>
          <w:rFonts w:ascii="Calibri" w:hAnsi="Calibri" w:cs="Calibri"/>
          <w:lang w:val="fr-FR" w:eastAsia="fr-FR" w:bidi="fr-FR"/>
        </w:rPr>
        <w:t>Les résultats de l'audit des dépendances sont sensibles au temps et reflètent la situation au 9 août 2026 ; ils doivent être relancés dans la CI et avant toute livraison.</w:t>
      </w:r>
    </w:p>
    <w:p>
      <w:pPr>
        <w:keepLines/>
        <w:numPr>
          <w:ilvl w:val="0"/>
          <w:numId w:val="10"/>
        </w:numPr>
        <w:spacing w:after="160" w:line="280" w:lineRule="auto"/>
      </w:pPr>
      <w:r>
        <w:rPr>
          <w:rFonts w:ascii="Calibri" w:hAnsi="Calibri" w:cs="Calibri"/>
          <w:lang w:val="fr-FR" w:eastAsia="fr-FR" w:bidi="fr-FR"/>
        </w:rPr>
        <w:t>Certains fichiers de tests front-end se sont manifestement exécutés avec succès, mais les lanceurs complets ne se sont pas terminés proprement lors des exécutions contrôlées ; cela ne constitue pas une attestation de réussite des tests.</w:t>
      </w:r>
    </w:p>
    <w:p>
      <w:pPr>
        <w:pStyle w:val="Heading2"/>
      </w:pPr>
      <w:r>
        <w:rPr>
          <w:lang w:val="fr-FR" w:eastAsia="fr-FR" w:bidi="fr-FR"/>
        </w:rPr>
        <w:t>Plan du document</w:t>
      </w:r>
    </w:p>
    <w:p>
      <w:pPr>
        <w:keepLines/>
        <w:numPr>
          <w:ilvl w:val="0"/>
          <w:numId w:val="10"/>
        </w:numPr>
        <w:spacing w:after="160" w:line="280" w:lineRule="auto"/>
      </w:pPr>
      <w:r>
        <w:rPr>
          <w:rFonts w:ascii="Calibri" w:hAnsi="Calibri" w:cs="Calibri"/>
          <w:lang w:val="fr-FR" w:eastAsia="fr-FR" w:bidi="fr-FR"/>
        </w:rPr>
        <w:t>1. Périmètre du produit et du système</w:t>
      </w:r>
    </w:p>
    <w:p>
      <w:pPr>
        <w:keepLines/>
        <w:numPr>
          <w:ilvl w:val="0"/>
          <w:numId w:val="10"/>
        </w:numPr>
        <w:spacing w:after="160" w:line="280" w:lineRule="auto"/>
      </w:pPr>
      <w:r>
        <w:rPr>
          <w:rFonts w:ascii="Calibri" w:hAnsi="Calibri" w:cs="Calibri"/>
          <w:lang w:val="fr-FR" w:eastAsia="fr-FR" w:bidi="fr-FR"/>
        </w:rPr>
        <w:t>2. Vue d'ensemble de l'architecture</w:t>
      </w:r>
    </w:p>
    <w:p>
      <w:pPr>
        <w:keepLines/>
        <w:numPr>
          <w:ilvl w:val="0"/>
          <w:numId w:val="10"/>
        </w:numPr>
        <w:spacing w:after="160" w:line="280" w:lineRule="auto"/>
      </w:pPr>
      <w:r>
        <w:rPr>
          <w:rFonts w:ascii="Calibri" w:hAnsi="Calibri" w:cs="Calibri"/>
          <w:lang w:val="fr-FR" w:eastAsia="fr-FR" w:bidi="fr-FR"/>
        </w:rPr>
        <w:t>3. Conception du dépôt et des composants</w:t>
      </w:r>
    </w:p>
    <w:p>
      <w:pPr>
        <w:keepLines/>
        <w:numPr>
          <w:ilvl w:val="0"/>
          <w:numId w:val="10"/>
        </w:numPr>
        <w:spacing w:after="160" w:line="280" w:lineRule="auto"/>
      </w:pPr>
      <w:r>
        <w:rPr>
          <w:rFonts w:ascii="Calibri" w:hAnsi="Calibri" w:cs="Calibri"/>
          <w:lang w:val="fr-FR" w:eastAsia="fr-FR" w:bidi="fr-FR"/>
        </w:rPr>
        <w:t>4. Conception des applications front-end</w:t>
      </w:r>
    </w:p>
    <w:p>
      <w:pPr>
        <w:keepLines/>
        <w:numPr>
          <w:ilvl w:val="0"/>
          <w:numId w:val="10"/>
        </w:numPr>
        <w:spacing w:after="160" w:line="280" w:lineRule="auto"/>
      </w:pPr>
      <w:r>
        <w:rPr>
          <w:rFonts w:ascii="Calibri" w:hAnsi="Calibri" w:cs="Calibri"/>
          <w:lang w:val="fr-FR" w:eastAsia="fr-FR" w:bidi="fr-FR"/>
        </w:rPr>
        <w:t>5. Conception de l'API et des services</w:t>
      </w:r>
    </w:p>
    <w:p>
      <w:pPr>
        <w:keepLines/>
        <w:numPr>
          <w:ilvl w:val="0"/>
          <w:numId w:val="10"/>
        </w:numPr>
        <w:spacing w:after="160" w:line="280" w:lineRule="auto"/>
      </w:pPr>
      <w:r>
        <w:rPr>
          <w:rFonts w:ascii="Calibri" w:hAnsi="Calibri" w:cs="Calibri"/>
          <w:lang w:val="fr-FR" w:eastAsia="fr-FR" w:bidi="fr-FR"/>
        </w:rPr>
        <w:t>6. Architecture des données</w:t>
      </w:r>
    </w:p>
    <w:p>
      <w:pPr>
        <w:keepLines/>
        <w:numPr>
          <w:ilvl w:val="0"/>
          <w:numId w:val="10"/>
        </w:numPr>
        <w:spacing w:after="160" w:line="280" w:lineRule="auto"/>
      </w:pPr>
      <w:r>
        <w:rPr>
          <w:rFonts w:ascii="Calibri" w:hAnsi="Calibri" w:cs="Calibri"/>
          <w:lang w:val="fr-FR" w:eastAsia="fr-FR" w:bidi="fr-FR"/>
        </w:rPr>
        <w:t>7. Identité, tenancy et contrôle d'accès</w:t>
      </w:r>
    </w:p>
    <w:p>
      <w:pPr>
        <w:keepLines/>
        <w:numPr>
          <w:ilvl w:val="0"/>
          <w:numId w:val="10"/>
        </w:numPr>
        <w:spacing w:after="160" w:line="280" w:lineRule="auto"/>
      </w:pPr>
      <w:r>
        <w:rPr>
          <w:rFonts w:ascii="Calibri" w:hAnsi="Calibri" w:cs="Calibri"/>
          <w:lang w:val="fr-FR" w:eastAsia="fr-FR" w:bidi="fr-FR"/>
        </w:rPr>
        <w:t>8. Réservation et flux opérationnels</w:t>
      </w:r>
    </w:p>
    <w:p>
      <w:pPr>
        <w:keepLines/>
        <w:numPr>
          <w:ilvl w:val="0"/>
          <w:numId w:val="10"/>
        </w:numPr>
        <w:spacing w:after="160" w:line="280" w:lineRule="auto"/>
      </w:pPr>
      <w:r>
        <w:rPr>
          <w:rFonts w:ascii="Calibri" w:hAnsi="Calibri" w:cs="Calibri"/>
          <w:lang w:val="fr-FR" w:eastAsia="fr-FR" w:bidi="fr-FR"/>
        </w:rPr>
        <w:t>9. Conception commerciale, des abonnements et de la facturation</w:t>
      </w:r>
    </w:p>
    <w:p>
      <w:pPr>
        <w:keepLines/>
        <w:numPr>
          <w:ilvl w:val="0"/>
          <w:numId w:val="10"/>
        </w:numPr>
        <w:spacing w:after="160" w:line="280" w:lineRule="auto"/>
      </w:pPr>
      <w:r>
        <w:rPr>
          <w:rFonts w:ascii="Calibri" w:hAnsi="Calibri" w:cs="Calibri"/>
          <w:lang w:val="fr-FR" w:eastAsia="fr-FR" w:bidi="fr-FR"/>
        </w:rPr>
        <w:t>10. Paiements et intégrations financières</w:t>
      </w:r>
    </w:p>
    <w:p>
      <w:pPr>
        <w:keepLines/>
        <w:numPr>
          <w:ilvl w:val="0"/>
          <w:numId w:val="10"/>
        </w:numPr>
        <w:spacing w:after="160" w:line="280" w:lineRule="auto"/>
      </w:pPr>
      <w:r>
        <w:rPr>
          <w:rFonts w:ascii="Calibri" w:hAnsi="Calibri" w:cs="Calibri"/>
          <w:lang w:val="fr-FR" w:eastAsia="fr-FR" w:bidi="fr-FR"/>
        </w:rPr>
        <w:t>11. Notifications, temps réel et travaux planifiés</w:t>
      </w:r>
    </w:p>
    <w:p>
      <w:pPr>
        <w:keepLines/>
        <w:numPr>
          <w:ilvl w:val="0"/>
          <w:numId w:val="10"/>
        </w:numPr>
        <w:spacing w:after="160" w:line="280" w:lineRule="auto"/>
      </w:pPr>
      <w:r>
        <w:rPr>
          <w:rFonts w:ascii="Calibri" w:hAnsi="Calibri" w:cs="Calibri"/>
          <w:lang w:val="fr-FR" w:eastAsia="fr-FR" w:bidi="fr-FR"/>
        </w:rPr>
        <w:t>12. Sécurité et confidentialité</w:t>
      </w:r>
    </w:p>
    <w:p>
      <w:pPr>
        <w:keepLines/>
        <w:numPr>
          <w:ilvl w:val="0"/>
          <w:numId w:val="10"/>
        </w:numPr>
        <w:spacing w:after="160" w:line="280" w:lineRule="auto"/>
      </w:pPr>
      <w:r>
        <w:rPr>
          <w:rFonts w:ascii="Calibri" w:hAnsi="Calibri" w:cs="Calibri"/>
          <w:lang w:val="fr-FR" w:eastAsia="fr-FR" w:bidi="fr-FR"/>
        </w:rPr>
        <w:t>13. Déploiement, opérations et évolutivité</w:t>
      </w:r>
    </w:p>
    <w:p>
      <w:pPr>
        <w:keepLines/>
        <w:numPr>
          <w:ilvl w:val="0"/>
          <w:numId w:val="10"/>
        </w:numPr>
        <w:spacing w:after="160" w:line="280" w:lineRule="auto"/>
      </w:pPr>
      <w:r>
        <w:rPr>
          <w:rFonts w:ascii="Calibri" w:hAnsi="Calibri" w:cs="Calibri"/>
          <w:lang w:val="fr-FR" w:eastAsia="fr-FR" w:bidi="fr-FR"/>
        </w:rPr>
        <w:t>14. Ingénierie qualité et maintenabilité</w:t>
      </w:r>
    </w:p>
    <w:p>
      <w:pPr>
        <w:keepLines/>
        <w:numPr>
          <w:ilvl w:val="0"/>
          <w:numId w:val="10"/>
        </w:numPr>
        <w:spacing w:after="160" w:line="280" w:lineRule="auto"/>
      </w:pPr>
      <w:r>
        <w:rPr>
          <w:rFonts w:ascii="Calibri" w:hAnsi="Calibri" w:cs="Calibri"/>
          <w:lang w:val="fr-FR" w:eastAsia="fr-FR" w:bidi="fr-FR"/>
        </w:rPr>
        <w:t>15. Registre des risques</w:t>
      </w:r>
    </w:p>
    <w:p>
      <w:pPr>
        <w:keepLines/>
        <w:numPr>
          <w:ilvl w:val="0"/>
          <w:numId w:val="10"/>
        </w:numPr>
        <w:spacing w:after="160" w:line="280" w:lineRule="auto"/>
      </w:pPr>
      <w:r>
        <w:rPr>
          <w:rFonts w:ascii="Calibri" w:hAnsi="Calibri" w:cs="Calibri"/>
          <w:lang w:val="fr-FR" w:eastAsia="fr-FR" w:bidi="fr-FR"/>
        </w:rPr>
        <w:t>16. Feuille de route de préparation à la production</w:t>
      </w:r>
    </w:p>
    <w:p>
      <w:pPr>
        <w:keepLines/>
        <w:numPr>
          <w:ilvl w:val="0"/>
          <w:numId w:val="10"/>
        </w:numPr>
        <w:spacing w:after="160" w:line="280" w:lineRule="auto"/>
      </w:pPr>
      <w:r>
        <w:rPr>
          <w:rFonts w:ascii="Calibri" w:hAnsi="Calibri" w:cs="Calibri"/>
          <w:lang w:val="fr-FR" w:eastAsia="fr-FR" w:bidi="fr-FR"/>
        </w:rPr>
        <w:t>17. Discipline des affirmations destinées aux investisseurs</w:t>
      </w:r>
    </w:p>
    <w:p>
      <w:pPr>
        <w:keepLines/>
        <w:numPr>
          <w:ilvl w:val="0"/>
          <w:numId w:val="10"/>
        </w:numPr>
        <w:spacing w:after="160" w:line="280" w:lineRule="auto"/>
      </w:pPr>
      <w:r>
        <w:rPr>
          <w:rFonts w:ascii="Calibri" w:hAnsi="Calibri" w:cs="Calibri"/>
          <w:lang w:val="fr-FR" w:eastAsia="fr-FR" w:bidi="fr-FR"/>
        </w:rPr>
        <w:t>Annexes : pile technologique, catalogue des modèles de données, inventaire de l'API et index des preuves</w:t>
      </w:r>
    </w:p>
    <w:p>
      <w:r>
        <w:rPr>
          <w:lang w:val="fr-FR" w:eastAsia="fr-FR" w:bidi="fr-FR"/>
        </w:rPr>
        <w:br w:type="page"/>
      </w:r>
    </w:p>
    <w:p>
      <w:pPr>
        <w:pStyle w:val="Heading1"/>
      </w:pPr>
      <w:r>
        <w:rPr>
          <w:lang w:val="fr-FR" w:eastAsia="fr-FR" w:bidi="fr-FR"/>
        </w:rPr>
        <w:t>1. Périmètre du produit et du système</w:t>
      </w:r>
    </w:p>
    <w:p>
      <w:pPr>
        <w:keepLines w:val="0"/>
      </w:pPr>
      <w:r>
        <w:rPr>
          <w:rFonts w:ascii="Calibri" w:hAnsi="Calibri" w:cs="Calibri"/>
          <w:b w:val="0"/>
          <w:i w:val="0"/>
          <w:lang w:val="fr-FR" w:eastAsia="fr-FR" w:bidi="fr-FR"/>
        </w:rPr>
        <w:t>RentalDriveGo est conçu comme un SaaS multi-tenant de gestion locative, avec une place de marché publique et un plan de contrôle de plateforme distinct. Le code vise fortement les opérateurs marocains : les tarifs des plans sont libellés en MAD, les villes marocaines figurent dans les données de la place de marché et les interfaces prennent en charge l'anglais, le français et l'arabe, y compris les mises en page de droite à gauche.</w:t>
      </w:r>
    </w:p>
    <w:p>
      <w:pPr>
        <w:pStyle w:val="Heading2"/>
      </w:pPr>
      <w:r>
        <w:rPr>
          <w:lang w:val="fr-FR" w:eastAsia="fr-FR" w:bidi="fr-FR"/>
        </w:rPr>
        <w:t>Principaux groupes d'utilisateurs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1450"/>
        <w:gridCol w:w="621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Acteur</w:t>
            </w:r>
          </w:p>
        </w:tc>
        <w:tc>
          <w:tcPr>
            <w:tcW w:type="dxa" w:w="14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Surface principale</w:t>
            </w:r>
          </w:p>
        </w:tc>
        <w:tc>
          <w:tcPr>
            <w:tcW w:type="dxa" w:w="621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Capacités démontrées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Prospect / visiteur public</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Page d'accueil</w:t>
            </w:r>
          </w:p>
        </w:tc>
        <w:tc>
          <w:tcPr>
            <w:tcW w:type="dxa" w:w="62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Présentation du produit, comparaison, tarification, confiance/sécurité, FAQ, entrée de connexion et appels à l'action de conversion.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Locataire invité</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Carplace</w:t>
            </w:r>
          </w:p>
        </w:tc>
        <w:tc>
          <w:tcPr>
            <w:tcW w:type="dxa" w:w="62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Découverte de véhicules inter-tenants, détails société/véhicule, sélection des dates, étapes devis/récapitulatif et demande de réservation.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Employé du tenant</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Tableau de bord</w:t>
            </w:r>
          </w:p>
        </w:tc>
        <w:tc>
          <w:tcPr>
            <w:tcW w:type="dxa" w:w="62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Flotte, clients, réservations, contrats, facturation, offres, équipe, rapports, avis, réclamations, notifications, paramètres et abonnement.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Administrateur de plateforme</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Administration</w:t>
            </w:r>
          </w:p>
        </w:tc>
        <w:tc>
          <w:tcPr>
            <w:tcW w:type="dxa" w:w="62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Sociétés, comptes locataires, utilisateurs administrateurs, journaux d'audit, tarification, facturation, configuration des menus, notifications et configuration du site.</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Consommateur de l'API</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Express API</w:t>
            </w:r>
          </w:p>
        </w:tc>
        <w:tc>
          <w:tcPr>
            <w:tcW w:type="dxa" w:w="62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Accès par cookie ou bearer ; certains accès par clé API ; API métier et points d'entrée webhook signés.</w:t>
            </w:r>
          </w:p>
        </w:tc>
      </w:tr>
    </w:tbl>
    <w:p>
      <w:pPr>
        <w:spacing w:after="20"/>
      </w:pPr>
    </w:p>
    <w:p>
      <w:r>
        <w:rPr>
          <w:lang w:val="fr-FR" w:eastAsia="fr-FR" w:bidi="fr-FR"/>
        </w:rPr>
        <w:br w:type="page"/>
      </w:r>
    </w:p>
    <w:p>
      <w:pPr>
        <w:pStyle w:val="Heading2"/>
      </w:pPr>
      <w:r>
        <w:rPr>
          <w:lang w:val="fr-FR" w:eastAsia="fr-FR" w:bidi="fr-FR"/>
        </w:rPr>
        <w:t>Périmètre fonctionnel du produit</w:t>
      </w:r>
    </w:p>
    <w:p>
      <w:pPr>
        <w:keepLines w:val="0"/>
      </w:pPr>
      <w:r>
        <w:rPr>
          <w:rFonts w:ascii="Calibri" w:hAnsi="Calibri" w:cs="Calibri"/>
          <w:b w:val="0"/>
          <w:i w:val="0"/>
          <w:lang w:val="fr-FR" w:eastAsia="fr-FR" w:bidi="fr-FR"/>
        </w:rPr>
        <w:t>Le produit va au-delà de l'inventaire de flotte. Sa base de données et ses routes couvrent le cycle de location depuis l'acquisition et la découverte jusqu'à la réservation, au paiement, aux documents, aux preuves de remise, aux dommages, aux avis, aux réclamations, aux notifications, aux abonnements et à l'administration de la plateforme. Cette largeur fonctionnelle est commercialement utile, mais augmente aussi le nombre de flux qui doivent être rendus fiables avant une disponibilité générale.</w:t>
      </w:r>
    </w:p>
    <w:p>
      <w:pPr>
        <w:keepLines/>
        <w:spacing w:before="100" w:after="200"/>
        <w:ind w:left="173" w:right="115"/>
        <w:shd w:fill="E8EEF5"/>
        <w:pBdr>
          <w:left w:val="single" w:sz="20" w:space="8" w:color="2E74B5"/>
        </w:pBdr>
      </w:pPr>
      <w:r>
        <w:rPr>
          <w:rFonts w:ascii="Calibri" w:hAnsi="Calibri" w:cs="Calibri"/>
          <w:b/>
          <w:color w:val="2E74B5"/>
          <w:lang w:val="fr-FR" w:eastAsia="fr-FR" w:bidi="fr-FR"/>
        </w:rPr>
        <w:t xml:space="preserve">Discipline de positionnement  </w:t>
      </w:r>
      <w:r>
        <w:rPr>
          <w:rFonts w:ascii="Calibri" w:hAnsi="Calibri" w:cs="Calibri"/>
          <w:color w:val="101828"/>
          <w:lang w:val="fr-FR" w:eastAsia="fr-FR" w:bidi="fr-FR"/>
        </w:rPr>
        <w:t>L'implémentation permet de présenter le produit comme un « système d'exploitation de la location avec distribution via une place de marché ». Elle ne permet pas encore d'affirmer qu'une vérification KYC/d'identité complète existe, que la livraison omnicanale des notifications est garantie, que les conteneurs sont isolés par tenant ou qu'une haute disponibilité est démontrée.</w:t>
      </w:r>
    </w:p>
    <w:p>
      <w:pPr>
        <w:pStyle w:val="Heading2"/>
      </w:pPr>
      <w:r>
        <w:rPr>
          <w:lang w:val="fr-FR" w:eastAsia="fr-FR" w:bidi="fr-FR"/>
        </w:rPr>
        <w:t>Échelle de la base de code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2150"/>
        <w:gridCol w:w="1450"/>
        <w:gridCol w:w="5760"/>
      </w:tblGrid>
      <w:tr>
        <w:trPr>
          <w:tblHeader w:val="true"/>
          <w:cantSplit/>
        </w:trPr>
        <w:tc>
          <w:tcPr>
            <w:tcW w:type="dxa" w:w="21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Mesure</w:t>
            </w:r>
          </w:p>
        </w:tc>
        <w:tc>
          <w:tcPr>
            <w:tcW w:type="dxa" w:w="14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Valeur vérifiée</w:t>
            </w:r>
          </w:p>
        </w:tc>
        <w:tc>
          <w:tcPr>
            <w:tcW w:type="dxa" w:w="57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Interprétation</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Code source produit</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≈66 483 lignes</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Exclut les tests et le code généré ; inclut le code applicatif, les types partagés et le schéma Prisma.</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Code source des tests</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≈22 716 lignes</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Un investissement significatif dans les tests, bien que l'exécution ne soit pas proprement reproductible depuis le package.</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Fichiers de tests</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266</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185 se trouvent dans l'API ; les tests front-end couvrent composants, hooks, comportement middleware/proxy et contenu.</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Gestionnaires API</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268</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Enregistrements de méthodes HTTP à l'exécution dans 21 domaines.</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Opérations documentées</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158</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La couverture OpenAPI manuelle représente environ 59 % des gestionnaires à l'exécution.</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Modèles de base / énumérations</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67 / 60</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Représentation substantielle du domaine et des états.</w:t>
            </w:r>
          </w:p>
        </w:tc>
      </w:tr>
      <w:tr>
        <w:trPr>
          <w:cantSplit/>
        </w:trPr>
        <w:tc>
          <w:tcPr>
            <w:tcW w:type="dxa" w:w="2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Répertoires de migration</w:t>
            </w:r>
          </w:p>
        </w:tc>
        <w:tc>
          <w:tcPr>
            <w:tcW w:type="dxa" w:w="14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49</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Montre un schéma évolué plutôt qu'une conception initiale unique.</w:t>
            </w:r>
          </w:p>
        </w:tc>
      </w:tr>
    </w:tbl>
    <w:p>
      <w:pPr>
        <w:spacing w:after="20"/>
      </w:pPr>
    </w:p>
    <w:p>
      <w:pPr>
        <w:pStyle w:val="Heading1"/>
      </w:pPr>
      <w:r>
        <w:rPr>
          <w:lang w:val="fr-FR" w:eastAsia="fr-FR" w:bidi="fr-FR"/>
        </w:rPr>
        <w:t>2. Vue d'ensemble de l'architecture</w:t>
      </w:r>
    </w:p>
    <w:p>
      <w:pPr>
        <w:keepLines/>
        <w:spacing w:before="120" w:after="40"/>
        <w:jc w:val="center"/>
      </w:pPr>
      <w:r>
        <w:rPr>
          <w:lang w:val="fr-FR" w:eastAsia="fr-FR" w:bidi="fr-FR"/>
        </w:rPr>
        <w:drawing>
          <wp:inline xmlns:a="http://schemas.openxmlformats.org/drawingml/2006/main" xmlns:pic="http://schemas.openxmlformats.org/drawingml/2006/picture">
            <wp:extent cx="5760720" cy="3392424"/>
            <wp:docPr id="1" name="Picture 1" descr="Figure 1. Topologie logique vérifiée, dérivée de la configuration de réécriture/chemin de base de Next.js et des dépendances de l'API." title="Runtime Topology"/>
            <wp:cNvGraphicFramePr>
              <a:graphicFrameLocks noChangeAspect="1"/>
            </wp:cNvGraphicFramePr>
            <a:graphic>
              <a:graphicData uri="http://schemas.openxmlformats.org/drawingml/2006/picture">
                <pic:pic>
                  <pic:nvPicPr>
                    <pic:cNvPr id="0" name="runtime_topology.png"/>
                    <pic:cNvPicPr/>
                  </pic:nvPicPr>
                  <pic:blipFill>
                    <a:blip r:embed="rId11"/>
                    <a:stretch>
                      <a:fillRect/>
                    </a:stretch>
                  </pic:blipFill>
                  <pic:spPr>
                    <a:xfrm>
                      <a:off x="0" y="0"/>
                      <a:ext cx="5760720" cy="3392424"/>
                    </a:xfrm>
                    <a:prstGeom prst="rect"/>
                  </pic:spPr>
                </pic:pic>
              </a:graphicData>
            </a:graphic>
          </wp:inline>
        </w:drawing>
      </w:r>
    </w:p>
    <w:p>
      <w:pPr>
        <w:pStyle w:val="Caption"/>
        <w:keepNext w:val="0"/>
      </w:pPr>
      <w:r>
        <w:rPr>
          <w:lang w:val="fr-FR" w:eastAsia="fr-FR" w:bidi="fr-FR"/>
        </w:rPr>
        <w:t>Figure 1. Topologie logique vérifiée, dérivée de la configuration de réécriture/chemin de base de Next.js et des dépendances de l'API.</w:t>
      </w:r>
    </w:p>
    <w:p>
      <w:pPr>
        <w:keepLines w:val="0"/>
      </w:pPr>
      <w:r>
        <w:rPr>
          <w:rFonts w:ascii="Calibri" w:hAnsi="Calibri" w:cs="Calibri"/>
          <w:b w:val="0"/>
          <w:i w:val="0"/>
          <w:lang w:val="fr-FR" w:eastAsia="fr-FR" w:bidi="fr-FR"/>
        </w:rPr>
        <w:t>La désignation architecturale correcte est un monorepo multi-applications avec un backend monolithique modulaire. Chaque application Next.js peut s'exécuter dans son propre processus et servir un public distinct, tandis que l'API Express centralise l'essentiel de la logique métier et persiste dans une base PostgreSQL partagée. La page d'accueil joue également le rôle de frontière publique en réécrivant les préfixes de chemins vers les autres applications et l'API.</w:t>
      </w:r>
    </w:p>
    <w:p>
      <w:pPr>
        <w:pStyle w:val="Heading2"/>
      </w:pPr>
      <w:r>
        <w:rPr>
          <w:lang w:val="fr-FR" w:eastAsia="fr-FR" w:bidi="fr-FR"/>
        </w:rPr>
        <w:t>Unités de déploiement</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350"/>
        <w:gridCol w:w="1500"/>
        <w:gridCol w:w="3830"/>
        <w:gridCol w:w="2680"/>
      </w:tblGrid>
      <w:tr>
        <w:trPr>
          <w:tblHeader w:val="true"/>
          <w:cantSplit/>
        </w:trPr>
        <w:tc>
          <w:tcPr>
            <w:tcW w:type="dxa" w:w="13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Unité</w:t>
            </w:r>
          </w:p>
        </w:tc>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Chemin / port par défaut</w:t>
            </w:r>
          </w:p>
        </w:tc>
        <w:tc>
          <w:tcPr>
            <w:tcW w:type="dxa" w:w="38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Responsabilité</w:t>
            </w:r>
          </w:p>
        </w:tc>
        <w:tc>
          <w:tcPr>
            <w:tcW w:type="dxa" w:w="268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État</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Page d'accueil</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 • 3000</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Marketing, connexion, réécritures de frontière publique</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Interface sans état ; configuration proxy</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Tableau de bord</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/dashboard • 3001</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Opérations du tenant</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Cookie de session employé HttpOnly ; proxy API</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Administration</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 • 3002</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Opérations de plateforme</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Cookie/session administrateur ; état adossé à l'API</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Carplace</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/carplace • 3004</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Place de marché publique</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État invité/navigateur ; enregistrements adossés à l'API</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API</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/api/v1 • 4000</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Règles métier, auth, données, fournisseurs, temps réel, tâches</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Avec état via la base, Redis, les fichiers, les maps en processus et les planifications</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PostgreSQL</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Infrastructure</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Système de référence</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État relationnel partagé</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Redis</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Infrastructure</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Publication/abonnement de notifications</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Canal éphémère partagé ; non utilisé pour toute la coordination</w:t>
            </w:r>
          </w:p>
        </w:tc>
      </w:tr>
      <w:tr>
        <w:trPr>
          <w:cantSplit/>
        </w:trPr>
        <w:tc>
          <w:tcPr>
            <w:tcW w:type="dxa" w:w="13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Racine des fichiers</w:t>
            </w:r>
          </w:p>
        </w:tc>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Système de fichiers monté</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Téléversements/documents publics et privés</w:t>
            </w:r>
          </w:p>
        </w:tc>
        <w:tc>
          <w:tcPr>
            <w:tcW w:type="dxa" w:w="268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Chemin local/partagé visible par Node requis</w:t>
            </w:r>
          </w:p>
        </w:tc>
      </w:tr>
    </w:tbl>
    <w:p>
      <w:pPr>
        <w:spacing w:after="20"/>
      </w:pPr>
    </w:p>
    <w:p>
      <w:pPr>
        <w:pStyle w:val="Heading2"/>
      </w:pPr>
      <w:r>
        <w:rPr>
          <w:lang w:val="fr-FR" w:eastAsia="fr-FR" w:bidi="fr-FR"/>
        </w:rPr>
        <w:t>Pourquoi cette forme est raisonnable aujourd'hui</w:t>
      </w:r>
    </w:p>
    <w:p>
      <w:pPr>
        <w:keepLines/>
        <w:numPr>
          <w:ilvl w:val="0"/>
          <w:numId w:val="10"/>
        </w:numPr>
        <w:spacing w:after="160" w:line="280" w:lineRule="auto"/>
      </w:pPr>
      <w:r>
        <w:rPr>
          <w:rFonts w:ascii="Calibri" w:hAnsi="Calibri" w:cs="Calibri"/>
          <w:lang w:val="fr-FR" w:eastAsia="fr-FR" w:bidi="fr-FR"/>
        </w:rPr>
        <w:t>Le domaine est transactionnel et relationnel ; une API et une base de données uniques simplifient la cohérence entre les flux de réservation, de tarification, de paiement et de documents.</w:t>
      </w:r>
    </w:p>
    <w:p>
      <w:pPr>
        <w:keepLines/>
        <w:numPr>
          <w:ilvl w:val="0"/>
          <w:numId w:val="10"/>
        </w:numPr>
        <w:spacing w:after="160" w:line="280" w:lineRule="auto"/>
      </w:pPr>
      <w:r>
        <w:rPr>
          <w:rFonts w:ascii="Calibri" w:hAnsi="Calibri" w:cs="Calibri"/>
          <w:lang w:val="fr-FR" w:eastAsia="fr-FR" w:bidi="fr-FR"/>
        </w:rPr>
        <w:t>Des front-ends distincts par public isolent les enjeux de navigation et de livraison sans introduire la complexité de transactions interservices.</w:t>
      </w:r>
    </w:p>
    <w:p>
      <w:pPr>
        <w:keepLines/>
        <w:numPr>
          <w:ilvl w:val="0"/>
          <w:numId w:val="10"/>
        </w:numPr>
        <w:spacing w:after="160" w:line="280" w:lineRule="auto"/>
      </w:pPr>
      <w:r>
        <w:rPr>
          <w:rFonts w:ascii="Calibri" w:hAnsi="Calibri" w:cs="Calibri"/>
          <w:lang w:val="fr-FR" w:eastAsia="fr-FR" w:bidi="fr-FR"/>
        </w:rPr>
        <w:t>La séparation, au niveau des modules, entre routes, schémas, services et dépôts ouvre la voie à de futures extractions si la charge mesurée, la conformité ou la responsabilité des équipes le justifient.</w:t>
      </w:r>
    </w:p>
    <w:p>
      <w:pPr>
        <w:pStyle w:val="Heading2"/>
      </w:pPr>
      <w:r>
        <w:rPr>
          <w:lang w:val="fr-FR" w:eastAsia="fr-FR" w:bidi="fr-FR"/>
        </w:rPr>
        <w:t>Quand cette forme devient risquée</w:t>
      </w:r>
    </w:p>
    <w:p>
      <w:pPr>
        <w:keepLines/>
        <w:numPr>
          <w:ilvl w:val="0"/>
          <w:numId w:val="10"/>
        </w:numPr>
        <w:spacing w:after="160" w:line="280" w:lineRule="auto"/>
      </w:pPr>
      <w:r>
        <w:rPr>
          <w:rFonts w:ascii="Calibri" w:hAnsi="Calibri" w:cs="Calibri"/>
          <w:lang w:val="fr-FR" w:eastAsia="fr-FR" w:bidi="fr-FR"/>
        </w:rPr>
        <w:t>Chaque réplique de l'API démarre les mêmes planifications node-cron ; plusieurs répliques peuvent donc dupliquer les travaux temporels, sauf si chaque opération est fortement idempotente ou si l'élection du leader est externalisée.</w:t>
      </w:r>
    </w:p>
    <w:p>
      <w:pPr>
        <w:keepLines/>
        <w:numPr>
          <w:ilvl w:val="0"/>
          <w:numId w:val="10"/>
        </w:numPr>
        <w:spacing w:after="160" w:line="280" w:lineRule="auto"/>
      </w:pPr>
      <w:r>
        <w:rPr>
          <w:rFonts w:ascii="Calibri" w:hAnsi="Calibri" w:cs="Calibri"/>
          <w:lang w:val="fr-FR" w:eastAsia="fr-FR" w:bidi="fr-FR"/>
        </w:rPr>
        <w:t>Le stockage sur système de fichiers local et la coordination en mémoire de processus lient la correction à une seule instance d'exécution ou à une infrastructure partagée non documentée.</w:t>
      </w:r>
    </w:p>
    <w:p>
      <w:pPr>
        <w:keepLines/>
        <w:numPr>
          <w:ilvl w:val="0"/>
          <w:numId w:val="10"/>
        </w:numPr>
        <w:spacing w:after="160" w:line="280" w:lineRule="auto"/>
      </w:pPr>
      <w:r>
        <w:rPr>
          <w:rFonts w:ascii="Calibri" w:hAnsi="Calibri" w:cs="Calibri"/>
          <w:lang w:val="fr-FR" w:eastAsia="fr-FR" w:bidi="fr-FR"/>
        </w:rPr>
        <w:t>Une boîte de sortie de notifications sans dispatcher crée une intention durable, mais pas une livraison durable.</w:t>
      </w:r>
    </w:p>
    <w:p>
      <w:pPr>
        <w:keepLines/>
        <w:numPr>
          <w:ilvl w:val="0"/>
          <w:numId w:val="10"/>
        </w:numPr>
        <w:spacing w:after="160" w:line="280" w:lineRule="auto"/>
      </w:pPr>
      <w:r>
        <w:rPr>
          <w:rFonts w:ascii="Calibri" w:hAnsi="Calibri" w:cs="Calibri"/>
          <w:lang w:val="fr-FR" w:eastAsia="fr-FR" w:bidi="fr-FR"/>
        </w:rPr>
        <w:t>Une logique de gestion des conteneurs couplée à l'API et au démon Docker fusionnerait le plan de données métier avec un plan de contrôle d'infrastructure privilégié.</w:t>
      </w:r>
    </w:p>
    <w:p>
      <w:pPr>
        <w:pStyle w:val="Heading1"/>
      </w:pPr>
      <w:r>
        <w:rPr>
          <w:lang w:val="fr-FR" w:eastAsia="fr-FR" w:bidi="fr-FR"/>
        </w:rPr>
        <w:t>3. Conception du dépôt et des composants</w:t>
      </w:r>
    </w:p>
    <w:p>
      <w:pPr>
        <w:pStyle w:val="Heading2"/>
      </w:pPr>
      <w:r>
        <w:rPr>
          <w:lang w:val="fr-FR" w:eastAsia="fr-FR" w:bidi="fr-FR"/>
        </w:rPr>
        <w:t>Structure du monorepo</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900"/>
        <w:gridCol w:w="1700"/>
        <w:gridCol w:w="57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Chemin</w:t>
            </w:r>
          </w:p>
        </w:tc>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Rôle</w:t>
            </w:r>
          </w:p>
        </w:tc>
        <w:tc>
          <w:tcPr>
            <w:tcW w:type="dxa" w:w="57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Conception observée</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apps/homepage</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Acquisition publique</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Next.js 16, React 19, modules CSS, contenu/configuration localisés, réécritures de routes.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apps/dashboard</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Espace de travail du tenant</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Next.js 16, Tailwind, Recharts, client Socket.IO, basePath /dashboard.</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apps/admin</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Contrôle de plateforme</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Next.js 16, Tailwind, Recharts, basePath /admin.</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apps/carplace</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Place de marché</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Next.js 16, Tailwind, recherche localisée et réservation progressive.</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apps/api</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Backend</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Express 4, TypeScript, Socket.IO, Zod, dossiers métier modulaires.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packages/database</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Persistance</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Schéma Prisma 5, migrations, client généré.</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packages/types</w:t>
            </w:r>
          </w:p>
        </w:tc>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Contrats partagés</w:t>
            </w:r>
          </w:p>
        </w:tc>
        <w:tc>
          <w:tcPr>
            <w:tcW w:type="dxa" w:w="5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Types API/dommages/carburant/place de marché et constantes tarifaires.</w:t>
            </w:r>
          </w:p>
        </w:tc>
      </w:tr>
    </w:tbl>
    <w:p>
      <w:pPr>
        <w:spacing w:after="20"/>
      </w:pPr>
    </w:p>
    <w:p>
      <w:pPr>
        <w:pStyle w:val="Heading2"/>
      </w:pPr>
      <w:r>
        <w:rPr>
          <w:lang w:val="fr-FR" w:eastAsia="fr-FR" w:bidi="fr-FR"/>
        </w:rPr>
        <w:t>Conception du build et des packages</w:t>
      </w:r>
    </w:p>
    <w:p>
      <w:pPr>
        <w:keepLines w:val="0"/>
      </w:pPr>
      <w:r>
        <w:rPr>
          <w:rFonts w:ascii="Calibri" w:hAnsi="Calibri" w:cs="Calibri"/>
          <w:b w:val="0"/>
          <w:i w:val="0"/>
          <w:lang w:val="fr-FR" w:eastAsia="fr-FR" w:bidi="fr-FR"/>
        </w:rPr>
        <w:t>La racine déclare des workspaces npm et une orchestration Turbo, avec Node ≥20, npm ≥10 et npm@10.5.0. Les scripts applicatifs préconstruisent généralement le package de types partagés avant le build, le démarrage, la vérification des types ou les tests. Cette structure est valide, mais le package fourni ne peut pas exécuter le workflow déclaré.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2200"/>
        <w:gridCol w:w="3670"/>
        <w:gridCol w:w="3490"/>
      </w:tblGrid>
      <w:tr>
        <w:trPr>
          <w:tblHeader w:val="true"/>
          <w:cantSplit/>
        </w:trPr>
        <w:tc>
          <w:tcPr>
            <w:tcW w:type="dxa" w:w="22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Dépendance déclarée</w:t>
            </w:r>
          </w:p>
        </w:tc>
        <w:tc>
          <w:tcPr>
            <w:tcW w:type="dxa" w:w="367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Preuve dans le package</w:t>
            </w:r>
          </w:p>
        </w:tc>
        <w:tc>
          <w:tcPr>
            <w:tcW w:type="dxa" w:w="349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Conclusion de diligence</w:t>
            </w:r>
          </w:p>
        </w:tc>
      </w:tr>
      <w:tr>
        <w:trPr>
          <w:cantSplit/>
        </w:trPr>
        <w:tc>
          <w:tcPr>
            <w:tcW w:type="dxa" w:w="22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turbo.json</w:t>
            </w:r>
          </w:p>
        </w:tc>
        <w:tc>
          <w:tcPr>
            <w:tcW w:type="dxa" w:w="367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scripts racine invoquent les tâches turbo build, dev, lint, type-check et DB.</w:t>
            </w:r>
          </w:p>
        </w:tc>
        <w:tc>
          <w:tcPr>
            <w:tcW w:type="dxa" w:w="349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Absent ; la vérification des types racine échoue avant de parcourir les workspaces.</w:t>
            </w:r>
          </w:p>
        </w:tc>
      </w:tr>
      <w:tr>
        <w:trPr>
          <w:cantSplit/>
        </w:trPr>
        <w:tc>
          <w:tcPr>
            <w:tcW w:type="dxa" w:w="22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tsconfig.base.json</w:t>
            </w:r>
          </w:p>
        </w:tc>
        <w:tc>
          <w:tcPr>
            <w:tcW w:type="dxa" w:w="367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configurations TypeScript des workspaces étendent la base racine.</w:t>
            </w:r>
          </w:p>
        </w:tc>
        <w:tc>
          <w:tcPr>
            <w:tcW w:type="dxa" w:w="349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Absent ; les types partagés et les vérifications des applications ne peuvent résoudre la configuration de base.</w:t>
            </w:r>
          </w:p>
        </w:tc>
      </w:tr>
      <w:tr>
        <w:trPr>
          <w:cantSplit/>
        </w:trPr>
        <w:tc>
          <w:tcPr>
            <w:tcW w:type="dxa" w:w="22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scripts/</w:t>
            </w:r>
          </w:p>
        </w:tc>
        <w:tc>
          <w:tcPr>
            <w:tcW w:type="dxa" w:w="367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scripts racine et API référencent le chargement env, le déploiement de production, la sauvegarde/restauration, le contrôle de sécurité et la configuration administrateur.</w:t>
            </w:r>
          </w:p>
        </w:tc>
        <w:tc>
          <w:tcPr>
            <w:tcW w:type="dxa" w:w="349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Absent ; les commandes opérationnelles référencées ne sont pas reproductibles.</w:t>
            </w:r>
          </w:p>
        </w:tc>
      </w:tr>
      <w:tr>
        <w:trPr>
          <w:cantSplit/>
        </w:trPr>
        <w:tc>
          <w:tcPr>
            <w:tcW w:type="dxa" w:w="22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Fichiers Compose</w:t>
            </w:r>
          </w:p>
        </w:tc>
        <w:tc>
          <w:tcPr>
            <w:tcW w:type="dxa" w:w="367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scripts racine référencent des fichiers Compose de développement et de production.</w:t>
            </w:r>
          </w:p>
        </w:tc>
        <w:tc>
          <w:tcPr>
            <w:tcW w:type="dxa" w:w="349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Absents ; la topologie locale et de production prévue ne peut pas être validée.</w:t>
            </w:r>
          </w:p>
        </w:tc>
      </w:tr>
      <w:tr>
        <w:trPr>
          <w:cantSplit/>
        </w:trPr>
        <w:tc>
          <w:tcPr>
            <w:tcW w:type="dxa" w:w="22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Configuration CI</w:t>
            </w:r>
          </w:p>
        </w:tc>
        <w:tc>
          <w:tcPr>
            <w:tcW w:type="dxa" w:w="367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Devrait normalement prouver les contrôles lint/types/build/tests/audit.</w:t>
            </w:r>
          </w:p>
        </w:tc>
        <w:tc>
          <w:tcPr>
            <w:tcW w:type="dxa" w:w="349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 workflow .github ni définition CI équivalente n'a été fourni.</w:t>
            </w:r>
          </w:p>
        </w:tc>
      </w:tr>
    </w:tbl>
    <w:p>
      <w:pPr>
        <w:spacing w:after="20"/>
      </w:pPr>
    </w:p>
    <w:p>
      <w:pPr>
        <w:pStyle w:val="Heading2"/>
      </w:pPr>
      <w:r>
        <w:rPr>
          <w:lang w:val="fr-FR" w:eastAsia="fr-FR" w:bidi="fr-FR"/>
        </w:rPr>
        <w:t>Hygiène du dépôt</w:t>
      </w:r>
    </w:p>
    <w:p>
      <w:pPr>
        <w:keepLines w:val="0"/>
      </w:pPr>
      <w:r>
        <w:rPr>
          <w:rFonts w:ascii="Calibri" w:hAnsi="Calibri" w:cs="Calibri"/>
          <w:b w:val="0"/>
          <w:i w:val="0"/>
          <w:lang w:val="fr-FR" w:eastAsia="fr-FR" w:bidi="fr-FR"/>
        </w:rPr>
        <w:t>Le ZIP fourni contenait node_modules, les sorties .next, des artefacts Prisma générés, des fichiers d'informations de build TypeScript et d'autres éléments compilés ou mis en cache. Cela augmente la taille du package, masque la provenance et peut rendre les résultats de dépendances ou de build spécifiques à une plateforme. Un artefact de livraison doit contenir soit les sources accompagnées d'un lockfile et d'une chaîne d'outils reproductibles, soit des images construites immuables avec un SBOM — et non un mélange de sources, de caches et de sorties d'une machine de développement.</w:t>
      </w:r>
    </w:p>
    <w:p>
      <w:pPr>
        <w:keepLines/>
        <w:spacing w:before="100" w:after="200"/>
        <w:ind w:left="173" w:right="115"/>
        <w:shd w:fill="FDECEC"/>
        <w:pBdr>
          <w:left w:val="single" w:sz="20" w:space="8" w:color="9B1C1C"/>
        </w:pBdr>
      </w:pPr>
      <w:r>
        <w:rPr>
          <w:rFonts w:ascii="Calibri" w:hAnsi="Calibri" w:cs="Calibri"/>
          <w:b/>
          <w:color w:val="9B1C1C"/>
          <w:lang w:val="fr-FR" w:eastAsia="fr-FR" w:bidi="fr-FR"/>
        </w:rPr>
        <w:t xml:space="preserve">Jalon de diligence  </w:t>
      </w:r>
      <w:r>
        <w:rPr>
          <w:rFonts w:ascii="Calibri" w:hAnsi="Calibri" w:cs="Calibri"/>
          <w:color w:val="101828"/>
          <w:lang w:val="fr-FR" w:eastAsia="fr-FR" w:bidi="fr-FR"/>
        </w:rPr>
        <w:t>Demander un export propre des sources ou un accès au dépôt, puis reproduire l'installation, la génération, le lint, la vérification des types, les tests, le build, la création d'images, les migrations, le déploiement, la sauvegarde et la restauration depuis un runner vierge.</w:t>
      </w:r>
    </w:p>
    <w:p>
      <w:pPr>
        <w:pStyle w:val="Heading1"/>
      </w:pPr>
      <w:r>
        <w:rPr>
          <w:lang w:val="fr-FR" w:eastAsia="fr-FR" w:bidi="fr-FR"/>
        </w:rPr>
        <w:t>4. Conception des applications front-end</w:t>
      </w:r>
    </w:p>
    <w:p>
      <w:pPr>
        <w:pStyle w:val="Heading2"/>
      </w:pPr>
      <w:r>
        <w:rPr>
          <w:lang w:val="fr-FR" w:eastAsia="fr-FR" w:bidi="fr-FR"/>
        </w:rPr>
        <w:t>4.1 Page d'accueil et frontière publique</w:t>
      </w:r>
    </w:p>
    <w:p>
      <w:pPr>
        <w:keepLines w:val="0"/>
      </w:pPr>
      <w:r>
        <w:rPr>
          <w:rFonts w:ascii="Calibri" w:hAnsi="Calibri" w:cs="Calibri"/>
          <w:b w:val="0"/>
          <w:i w:val="0"/>
          <w:lang w:val="fr-FR" w:eastAsia="fr-FR" w:bidi="fr-FR"/>
        </w:rPr>
        <w:t>La page d'accueil est plus qu'une page d'atterrissage statique. Elle sert de routeur d'origine public et comprend des points d'entrée unifiés de connexion, la localisation, les préférences de thème, la configuration produit et des réécritures proxy vers l'API et trois applications en aval. Sa page principale assemble douze grandes sections : accroche, confiance, comparaison, workflow, rôles, modules, résultats, intégrations, sécurité, tarification, FAQ et appel à l'action final.</w:t>
      </w:r>
    </w:p>
    <w:p>
      <w:pPr>
        <w:keepLines/>
        <w:numPr>
          <w:ilvl w:val="0"/>
          <w:numId w:val="10"/>
        </w:numPr>
        <w:spacing w:after="160" w:line="280" w:lineRule="auto"/>
      </w:pPr>
      <w:r>
        <w:rPr>
          <w:rFonts w:ascii="Calibri" w:hAnsi="Calibri" w:cs="Calibri"/>
          <w:lang w:val="fr-FR" w:eastAsia="fr-FR" w:bidi="fr-FR"/>
        </w:rPr>
        <w:t>Système de conception : modules CSS et jetons/composants personnalisés, distincts des systèmes Tailwind utilisés ailleurs.</w:t>
      </w:r>
    </w:p>
    <w:p>
      <w:pPr>
        <w:keepLines/>
        <w:numPr>
          <w:ilvl w:val="0"/>
          <w:numId w:val="10"/>
        </w:numPr>
        <w:spacing w:after="160" w:line="280" w:lineRule="auto"/>
      </w:pPr>
      <w:r>
        <w:rPr>
          <w:rFonts w:ascii="Calibri" w:hAnsi="Calibri" w:cs="Calibri"/>
          <w:lang w:val="fr-FR" w:eastAsia="fr-FR" w:bidi="fr-FR"/>
        </w:rPr>
        <w:t>Internationalisation : contenus en anglais, français et arabe, avec gestion RTL et comportement localisé des préférences.</w:t>
      </w:r>
    </w:p>
    <w:p>
      <w:pPr>
        <w:keepLines/>
        <w:numPr>
          <w:ilvl w:val="0"/>
          <w:numId w:val="10"/>
        </w:numPr>
        <w:spacing w:after="160" w:line="280" w:lineRule="auto"/>
      </w:pPr>
      <w:r>
        <w:rPr>
          <w:rFonts w:ascii="Calibri" w:hAnsi="Calibri" w:cs="Calibri"/>
          <w:lang w:val="fr-FR" w:eastAsia="fr-FR" w:bidi="fr-FR"/>
        </w:rPr>
        <w:t>Intention qualité : présence de tests unitaires/d'intégration, d'une configuration Playwright et de tests d'accessibilité avec axe.</w:t>
      </w:r>
    </w:p>
    <w:p>
      <w:pPr>
        <w:keepLines/>
        <w:numPr>
          <w:ilvl w:val="0"/>
          <w:numId w:val="10"/>
        </w:numPr>
        <w:spacing w:after="160" w:line="280" w:lineRule="auto"/>
      </w:pPr>
      <w:r>
        <w:rPr>
          <w:rFonts w:ascii="Calibri" w:hAnsi="Calibri" w:cs="Calibri"/>
          <w:lang w:val="fr-FR" w:eastAsia="fr-FR" w:bidi="fr-FR"/>
        </w:rPr>
        <w:t>État actuel du lint : l'exécution contrôlée a signalé 3 erreurs et 4 avertissements, dont une mise à jour d'état synchrone pilotée par un effet et un usage explicite de any.</w:t>
      </w:r>
    </w:p>
    <w:p>
      <w:pPr>
        <w:pStyle w:val="Heading2"/>
      </w:pPr>
      <w:r>
        <w:rPr>
          <w:lang w:val="fr-FR" w:eastAsia="fr-FR" w:bidi="fr-FR"/>
        </w:rPr>
        <w:t>4.2 Tableau de bord du tenant</w:t>
      </w:r>
    </w:p>
    <w:p>
      <w:pPr>
        <w:keepLines w:val="0"/>
      </w:pPr>
      <w:r>
        <w:rPr>
          <w:rFonts w:ascii="Calibri" w:hAnsi="Calibri" w:cs="Calibri"/>
          <w:b w:val="0"/>
          <w:i w:val="0"/>
          <w:lang w:val="fr-FR" w:eastAsia="fr-FR" w:bidi="fr-FR"/>
        </w:rPr>
        <w:t>Le tableau de bord est le centre opérationnel des sociétés de location. Il utilise le chemin de base /dashboard, un cookie employé HttpOnly, un filtrage des routes par middleware, une garde d'accès côté client et un proxy API interne. Il comprend une coque de navigation persistante et une orchestration au niveau des pages pour la flotte, les réservations, les réservations en ligne, les clients, les contrats, la facturation, les offres, l'équipe, les rapports, les avis, les réclamations, les notifications, la recherche, les paramètres et l'abonnement.</w:t>
      </w:r>
    </w:p>
    <w:p>
      <w:pPr>
        <w:keepLines/>
        <w:numPr>
          <w:ilvl w:val="0"/>
          <w:numId w:val="10"/>
        </w:numPr>
        <w:spacing w:after="160" w:line="280" w:lineRule="auto"/>
      </w:pPr>
      <w:r>
        <w:rPr>
          <w:rFonts w:ascii="Calibri" w:hAnsi="Calibri" w:cs="Calibri"/>
          <w:lang w:val="fr-FR" w:eastAsia="fr-FR" w:bidi="fr-FR"/>
        </w:rPr>
        <w:t>Point fort : l'étendue du produit correspond étroitement au modèle de données central et aux modules de l'API.</w:t>
      </w:r>
    </w:p>
    <w:p>
      <w:pPr>
        <w:keepLines/>
        <w:numPr>
          <w:ilvl w:val="0"/>
          <w:numId w:val="10"/>
        </w:numPr>
        <w:spacing w:after="160" w:line="280" w:lineRule="auto"/>
      </w:pPr>
      <w:r>
        <w:rPr>
          <w:rFonts w:ascii="Calibri" w:hAnsi="Calibri" w:cs="Calibri"/>
          <w:lang w:val="fr-FR" w:eastAsia="fr-FR" w:bidi="fr-FR"/>
        </w:rPr>
        <w:t>Risque : de nombreux composants de page volumineux coordonnent directement l'état réseau et la présentation métier ; les conventions partagées de requêtes, formulaires et erreurs ne sont pas centralisées dans un package UI/données inter-applications.</w:t>
      </w:r>
    </w:p>
    <w:p>
      <w:pPr>
        <w:keepLines/>
        <w:numPr>
          <w:ilvl w:val="0"/>
          <w:numId w:val="10"/>
        </w:numPr>
        <w:spacing w:after="160" w:line="280" w:lineRule="auto"/>
      </w:pPr>
      <w:r>
        <w:rPr>
          <w:rFonts w:ascii="Calibri" w:hAnsi="Calibri" w:cs="Calibri"/>
          <w:lang w:val="fr-FR" w:eastAsia="fr-FR" w:bidi="fr-FR"/>
        </w:rPr>
        <w:t>Dérive documentaire : le README interne mentionne Next.js 14 / React 18, alors que les manifestes des packages déclarent Next.js 16.2.9 / React 19.2.</w:t>
      </w:r>
    </w:p>
    <w:p>
      <w:pPr>
        <w:pStyle w:val="Heading2"/>
      </w:pPr>
      <w:r>
        <w:rPr>
          <w:lang w:val="fr-FR" w:eastAsia="fr-FR" w:bidi="fr-FR"/>
        </w:rPr>
        <w:t>4.3 Administration de la plateforme</w:t>
      </w:r>
    </w:p>
    <w:p>
      <w:pPr>
        <w:keepLines w:val="0"/>
      </w:pPr>
      <w:r>
        <w:rPr>
          <w:rFonts w:ascii="Calibri" w:hAnsi="Calibri" w:cs="Calibri"/>
          <w:b w:val="0"/>
          <w:i w:val="0"/>
          <w:lang w:val="fr-FR" w:eastAsia="fr-FR" w:bidi="fr-FR"/>
        </w:rPr>
        <w:t>L'application d'administration sépare les fonctions globales de l'opérateur des fonctions des tenants. Sa navigation comprend les sociétés, les locataires, les utilisateurs administrateurs, les journaux d'audit, la facturation, la tarification, la gestion des menus, la configuration du site et les notifications. Les routes backend imposent les rôles administratifs et les règles à deux facteurs ; la mise en page front-end effectue également un contrôle d'authentification côté client à des fins d'expérience utilisateur.</w:t>
      </w:r>
    </w:p>
    <w:p>
      <w:pPr>
        <w:keepLines/>
        <w:spacing w:before="100" w:after="200"/>
        <w:ind w:left="173" w:right="115"/>
        <w:shd w:fill="FDECEC"/>
        <w:pBdr>
          <w:left w:val="single" w:sz="20" w:space="8" w:color="9B1C1C"/>
        </w:pBdr>
      </w:pPr>
      <w:r>
        <w:rPr>
          <w:rFonts w:ascii="Calibri" w:hAnsi="Calibri" w:cs="Calibri"/>
          <w:b/>
          <w:color w:val="9B1C1C"/>
          <w:lang w:val="fr-FR" w:eastAsia="fr-FR" w:bidi="fr-FR"/>
        </w:rPr>
        <w:t xml:space="preserve">Écart important  </w:t>
      </w:r>
      <w:r>
        <w:rPr>
          <w:rFonts w:ascii="Calibri" w:hAnsi="Calibri" w:cs="Calibri"/>
          <w:color w:val="101828"/>
          <w:lang w:val="fr-FR" w:eastAsia="fr-FR" w:bidi="fr-FR"/>
        </w:rPr>
        <w:t>L'interface d'administration présente une zone de gestion des conteneurs et appelle des endpoints associés, mais l'API examinée ne comporte aucune route d'administration correspondante et la base de données ne contient pas le modèle CompanyContainer attendu. Il s'agit d'une capacité fantôme, et non d'une fonction opérationnelle.</w:t>
      </w:r>
    </w:p>
    <w:p>
      <w:pPr>
        <w:pStyle w:val="Heading2"/>
      </w:pPr>
      <w:r>
        <w:rPr>
          <w:lang w:val="fr-FR" w:eastAsia="fr-FR" w:bidi="fr-FR"/>
        </w:rPr>
        <w:t>4.4 Place de marché Carplace</w:t>
      </w:r>
    </w:p>
    <w:p>
      <w:pPr>
        <w:keepLines w:val="0"/>
      </w:pPr>
      <w:r>
        <w:rPr>
          <w:rFonts w:ascii="Calibri" w:hAnsi="Calibri" w:cs="Calibri"/>
          <w:b w:val="0"/>
          <w:i w:val="0"/>
          <w:lang w:val="fr-FR" w:eastAsia="fr-FR" w:bidi="fr-FR"/>
        </w:rPr>
        <w:t>Carplace assure une découverte publique inter-tenants et une demande de réservation progressive. Il prend en charge la recherche, les pages par slug de société et de véhicule, les étapes trajet/contact/récapitulatif, les pages juridiques et la localisation en anglais, français et arabe. Le comportement actuel est principalement public/invité ; les routes de connexion et d'inscription des locataires sont désactivées, bien que les comptes de locataires et les modèles de notification existent dans la plateforme au sens large.</w:t>
      </w:r>
    </w:p>
    <w:p>
      <w:pPr>
        <w:keepLines/>
        <w:numPr>
          <w:ilvl w:val="0"/>
          <w:numId w:val="10"/>
        </w:numPr>
        <w:spacing w:after="160" w:line="280" w:lineRule="auto"/>
      </w:pPr>
      <w:r>
        <w:rPr>
          <w:rFonts w:ascii="Calibri" w:hAnsi="Calibri" w:cs="Calibri"/>
          <w:lang w:val="fr-FR" w:eastAsia="fr-FR" w:bidi="fr-FR"/>
        </w:rPr>
        <w:t>Point fort : la découverte sur la place de marché est séparée des opérations des tenants et utilise des routes API sûres pour le public.</w:t>
      </w:r>
    </w:p>
    <w:p>
      <w:pPr>
        <w:keepLines/>
        <w:numPr>
          <w:ilvl w:val="0"/>
          <w:numId w:val="10"/>
        </w:numPr>
        <w:spacing w:after="160" w:line="280" w:lineRule="auto"/>
      </w:pPr>
      <w:r>
        <w:rPr>
          <w:rFonts w:ascii="Calibri" w:hAnsi="Calibri" w:cs="Calibri"/>
          <w:lang w:val="fr-FR" w:eastAsia="fr-FR" w:bidi="fr-FR"/>
        </w:rPr>
        <w:t>Risque : l'idempotence de certaines réservations publiques est conservée dans une map en mémoire pendant 15 minutes ; elle n'est pas cohérente entre les répliques et disparaît au redémarrage.</w:t>
      </w:r>
    </w:p>
    <w:p>
      <w:pPr>
        <w:keepLines/>
        <w:numPr>
          <w:ilvl w:val="0"/>
          <w:numId w:val="10"/>
        </w:numPr>
        <w:spacing w:after="160" w:line="280" w:lineRule="auto"/>
      </w:pPr>
      <w:r>
        <w:rPr>
          <w:rFonts w:ascii="Calibri" w:hAnsi="Calibri" w:cs="Calibri"/>
          <w:lang w:val="fr-FR" w:eastAsia="fr-FR" w:bidi="fr-FR"/>
        </w:rPr>
        <w:t>Lacune produit : les parcours de locataires basés sur un compte sont partiellement modélisés, mais inactifs dans les routes examinées.</w:t>
      </w:r>
    </w:p>
    <w:p>
      <w:pPr>
        <w:pStyle w:val="Heading2"/>
      </w:pPr>
      <w:r>
        <w:rPr>
          <w:lang w:val="fr-FR" w:eastAsia="fr-FR" w:bidi="fr-FR"/>
        </w:rPr>
        <w:t>4.5 Conception transverse des front-ends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500"/>
        <w:gridCol w:w="3900"/>
        <w:gridCol w:w="39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Sujet</w:t>
            </w:r>
          </w:p>
        </w:tc>
        <w:tc>
          <w:tcPr>
            <w:tcW w:type="dxa" w:w="3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État actuel</w:t>
            </w:r>
          </w:p>
        </w:tc>
        <w:tc>
          <w:tcPr>
            <w:tcW w:type="dxa" w:w="39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Recommandation</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Système d'interface</w:t>
            </w:r>
          </w:p>
        </w:tc>
        <w:tc>
          <w:tcPr>
            <w:tcW w:type="dxa" w:w="3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 page d'accueil utilise des modules CSS/composants personnalisés ; dashboard/admin/carplace utilisent Tailwind ; aucun package UI partagé.</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Publier des primitives, jetons, règles d'accessibilité et référentiels de régression visuelle partagés sans imposer un style identique à tous les publics.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Clients API</w:t>
            </w:r>
          </w:p>
        </w:tc>
        <w:tc>
          <w:tcPr>
            <w:tcW w:type="dxa" w:w="3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Une logique similaire de proxy/fetch/erreur est répétée entre les applications.</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Générer ou partager des clients typés depuis un contrat API faisant autorité.</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Versions</w:t>
            </w:r>
          </w:p>
        </w:tc>
        <w:tc>
          <w:tcPr>
            <w:tcW w:type="dxa" w:w="3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Next 16 / React 19 dans les front-ends ; l'API inclut React 18 et Next comme dépendances backend ; la plage de pairs lucide cible React ≤18.</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Supprimer les dépendances UI backend inutilisées et aligner/mettre à niveau les packages compatibles entre pairs.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État/données</w:t>
            </w:r>
          </w:p>
        </w:tc>
        <w:tc>
          <w:tcPr>
            <w:tcW w:type="dxa" w:w="3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Orchestration principalement au niveau des composants et modèles de fetch direct.</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Standardiser le cache, les reprises, l'annulation, les mises à jour optimistes et l'enveloppe d'erreur.</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Accessibilité</w:t>
            </w:r>
          </w:p>
        </w:tc>
        <w:tc>
          <w:tcPr>
            <w:tcW w:type="dxa" w:w="3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 page d'accueil affiche une intention explicite axe/Playwright ; les preuves équivalentes sont moins visibles dans les autres applications.</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Adopter des tests d'acceptation partagés pour clavier, focus, libellés de formulaires, contraste et RTL sur toutes les surfaces.</w:t>
            </w:r>
          </w:p>
        </w:tc>
      </w:tr>
    </w:tbl>
    <w:p>
      <w:pPr>
        <w:spacing w:after="20"/>
      </w:pPr>
    </w:p>
    <w:p>
      <w:pPr>
        <w:pStyle w:val="Heading1"/>
      </w:pPr>
      <w:r>
        <w:rPr>
          <w:lang w:val="fr-FR" w:eastAsia="fr-FR" w:bidi="fr-FR"/>
        </w:rPr>
        <w:t>5. Conception de l'API et des services</w:t>
      </w:r>
    </w:p>
    <w:p>
      <w:pPr>
        <w:keepLines/>
        <w:spacing w:before="120" w:after="40"/>
        <w:jc w:val="center"/>
      </w:pPr>
      <w:r>
        <w:rPr>
          <w:lang w:val="fr-FR" w:eastAsia="fr-FR" w:bidi="fr-FR"/>
        </w:rPr>
        <w:drawing>
          <wp:inline xmlns:a="http://schemas.openxmlformats.org/drawingml/2006/main" xmlns:pic="http://schemas.openxmlformats.org/drawingml/2006/picture">
            <wp:extent cx="5760720" cy="3136392"/>
            <wp:docPr id="2" name="Picture 2" descr="Figure 2. Parcours type d'une requête API, de son entrée aux contrôles transverses, à la validation, à la logique métier et à la persistance." title="Api Request Path"/>
            <wp:cNvGraphicFramePr>
              <a:graphicFrameLocks noChangeAspect="1"/>
            </wp:cNvGraphicFramePr>
            <a:graphic>
              <a:graphicData uri="http://schemas.openxmlformats.org/drawingml/2006/picture">
                <pic:pic>
                  <pic:nvPicPr>
                    <pic:cNvPr id="0" name="api_request_path.png"/>
                    <pic:cNvPicPr/>
                  </pic:nvPicPr>
                  <pic:blipFill>
                    <a:blip r:embed="rId12"/>
                    <a:stretch>
                      <a:fillRect/>
                    </a:stretch>
                  </pic:blipFill>
                  <pic:spPr>
                    <a:xfrm>
                      <a:off x="0" y="0"/>
                      <a:ext cx="5760720" cy="3136392"/>
                    </a:xfrm>
                    <a:prstGeom prst="rect"/>
                  </pic:spPr>
                </pic:pic>
              </a:graphicData>
            </a:graphic>
          </wp:inline>
        </w:drawing>
      </w:r>
    </w:p>
    <w:p>
      <w:pPr>
        <w:pStyle w:val="Caption"/>
        <w:keepNext w:val="0"/>
      </w:pPr>
      <w:r>
        <w:rPr>
          <w:lang w:val="fr-FR" w:eastAsia="fr-FR" w:bidi="fr-FR"/>
        </w:rPr>
        <w:t>Figure 2. Parcours type d'une requête API, de son entrée aux contrôles transverses, à la validation, à la logique métier et à la persistance.</w:t>
      </w:r>
    </w:p>
    <w:p>
      <w:pPr>
        <w:keepLines w:val="0"/>
      </w:pPr>
      <w:r>
        <w:rPr>
          <w:rFonts w:ascii="Calibri" w:hAnsi="Calibri" w:cs="Calibri"/>
          <w:b w:val="0"/>
          <w:i w:val="0"/>
          <w:lang w:val="fr-FR" w:eastAsia="fr-FR" w:bidi="fr-FR"/>
        </w:rPr>
        <w:t>L'API est un monolithe modulaire TypeScript Express. La plupart des dossiers métier suivent le schéma route → schéma → service → dépôt → présentateur. Cette séparation est saine au stade actuel de l'entreprise et du produit : elle centralise les transactions tout en offrant aux équipes des frontières reconnaissables.</w:t>
      </w:r>
    </w:p>
    <w:p>
      <w:pPr>
        <w:pStyle w:val="Heading2"/>
      </w:pPr>
      <w:r>
        <w:rPr>
          <w:lang w:val="fr-FR" w:eastAsia="fr-FR" w:bidi="fr-FR"/>
        </w:rPr>
        <w:t>Initialisation de l'application</w:t>
      </w:r>
    </w:p>
    <w:p>
      <w:pPr>
        <w:keepLines/>
        <w:numPr>
          <w:ilvl w:val="0"/>
          <w:numId w:val="10"/>
        </w:numPr>
        <w:spacing w:after="160" w:line="280" w:lineRule="auto"/>
      </w:pPr>
      <w:r>
        <w:rPr>
          <w:rFonts w:ascii="Calibri" w:hAnsi="Calibri" w:cs="Calibri"/>
          <w:lang w:val="fr-FR" w:eastAsia="fr-FR" w:bidi="fr-FR"/>
        </w:rPr>
        <w:t>Nettoie les métadonnées de transfert, associe un identifiant de requête, rejette l'en-tête x-middleware-subrequest, applique les contrôles d'origine CORS et cookie-CSRF, puis installe la sécurité, le parsing, les routes et la gestion centralisée des erreurs.</w:t>
      </w:r>
    </w:p>
    <w:p>
      <w:pPr>
        <w:keepLines/>
        <w:numPr>
          <w:ilvl w:val="0"/>
          <w:numId w:val="10"/>
        </w:numPr>
        <w:spacing w:after="160" w:line="280" w:lineRule="auto"/>
      </w:pPr>
      <w:r>
        <w:rPr>
          <w:rFonts w:ascii="Calibri" w:hAnsi="Calibri" w:cs="Calibri"/>
          <w:lang w:val="fr-FR" w:eastAsia="fr-FR" w:bidi="fr-FR"/>
        </w:rPr>
        <w:t>Monte le traitement du corps brut des webhooks avant l'analyse JSON générale afin de vérifier les signatures des fournisseurs sur les octets d'origine.</w:t>
      </w:r>
    </w:p>
    <w:p>
      <w:pPr>
        <w:keepLines/>
        <w:numPr>
          <w:ilvl w:val="0"/>
          <w:numId w:val="10"/>
        </w:numPr>
        <w:spacing w:after="160" w:line="280" w:lineRule="auto"/>
      </w:pPr>
      <w:r>
        <w:rPr>
          <w:rFonts w:ascii="Calibri" w:hAnsi="Calibri" w:cs="Calibri"/>
          <w:lang w:val="fr-FR" w:eastAsia="fr-FR" w:bidi="fr-FR"/>
        </w:rPr>
        <w:t>Protège les routes de stockage privé et n'expose que les chemins de stockage public explicitement définis.</w:t>
      </w:r>
    </w:p>
    <w:p>
      <w:pPr>
        <w:keepLines/>
        <w:numPr>
          <w:ilvl w:val="0"/>
          <w:numId w:val="10"/>
        </w:numPr>
        <w:spacing w:after="160" w:line="280" w:lineRule="auto"/>
      </w:pPr>
      <w:r>
        <w:rPr>
          <w:rFonts w:ascii="Calibri" w:hAnsi="Calibri" w:cs="Calibri"/>
          <w:lang w:val="fr-FR" w:eastAsia="fr-FR" w:bidi="fr-FR"/>
        </w:rPr>
        <w:t>Ne sert Swagger qu'en dehors de la production, sauf activation explicite.</w:t>
      </w:r>
    </w:p>
    <w:p>
      <w:pPr>
        <w:keepLines/>
        <w:numPr>
          <w:ilvl w:val="0"/>
          <w:numId w:val="10"/>
        </w:numPr>
        <w:spacing w:after="160" w:line="280" w:lineRule="auto"/>
      </w:pPr>
      <w:r>
        <w:rPr>
          <w:rFonts w:ascii="Calibri" w:hAnsi="Calibri" w:cs="Calibri"/>
          <w:lang w:val="fr-FR" w:eastAsia="fr-FR" w:bidi="fr-FR"/>
        </w:rPr>
        <w:t>Initialise Socket.IO, l'abonnement Redis aux notifications et les tâches node-cron dans le processus de l'API.</w:t>
      </w:r>
    </w:p>
    <w:p>
      <w:pPr>
        <w:pStyle w:val="Heading2"/>
      </w:pPr>
      <w:r>
        <w:rPr>
          <w:lang w:val="fr-FR" w:eastAsia="fr-FR" w:bidi="fr-FR"/>
        </w:rPr>
        <w:t>Inventaire des modules métier</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2200"/>
        <w:gridCol w:w="900"/>
        <w:gridCol w:w="6260"/>
      </w:tblGrid>
      <w:tr>
        <w:trPr>
          <w:tblHeader w:val="true"/>
          <w:cantSplit/>
        </w:trPr>
        <w:tc>
          <w:tcPr>
            <w:tcW w:type="dxa" w:w="22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Famille métier</w:t>
            </w:r>
          </w:p>
        </w:tc>
        <w:tc>
          <w:tcPr>
            <w:tcW w:type="dxa" w:w="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Gestionnaires</w:t>
            </w:r>
          </w:p>
        </w:tc>
        <w:tc>
          <w:tcPr>
            <w:tcW w:type="dxa" w:w="62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Périmètre représentatif</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Administration</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70</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Sociétés, tarification, facturation, administrateurs, audit, configuration menu/site</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Véhicules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20</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CRUD de flotte, statut, médias, relations maintenance/calendrier</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Réservations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18</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Cycle de vie, contrats, documents, transitions opérationnelles</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Carplace</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17</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Recherche publique, devis, disponibilité, réservation invité, funnel</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Abonnements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17</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Plans, paiement, état d'accès, automatisation du cycle de vie</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Site</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14</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Contenu public/site et configuration</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Notifications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12</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Destinataires, préférences, état in-app, création d'événements</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Clients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10</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Enregistrements et historique clients limités au tenant</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Auth</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19</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Administrateur, employé, société, locataire, unifié, compte</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Paiements + webhooks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10</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 capture/remboursement/statut, callbacks fournisseur signés</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Autres domaines</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68</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Analytique, facturation, réclamations, offres, avis, recherche, équipe, permis, sociétés</w:t>
            </w:r>
          </w:p>
        </w:tc>
      </w:tr>
      <w:tr>
        <w:trPr>
          <w:cantSplit/>
        </w:trPr>
        <w:tc>
          <w:tcPr>
            <w:tcW w:type="dxa" w:w="22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Total</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268</w:t>
            </w:r>
          </w:p>
        </w:tc>
        <w:tc>
          <w:tcPr>
            <w:tcW w:type="dxa" w:w="6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Enregistrements de méthodes à l'exécution comptés dans les sources</w:t>
            </w:r>
          </w:p>
        </w:tc>
      </w:tr>
    </w:tbl>
    <w:p>
      <w:pPr>
        <w:spacing w:after="20"/>
      </w:pPr>
    </w:p>
    <w:p>
      <w:pPr>
        <w:pStyle w:val="Heading2"/>
      </w:pPr>
      <w:r>
        <w:rPr>
          <w:lang w:val="fr-FR" w:eastAsia="fr-FR" w:bidi="fr-FR"/>
        </w:rPr>
        <w:t>Contrats API et erreurs</w:t>
      </w:r>
    </w:p>
    <w:p>
      <w:pPr>
        <w:keepLines w:val="0"/>
      </w:pPr>
      <w:r>
        <w:rPr>
          <w:rFonts w:ascii="Calibri" w:hAnsi="Calibri" w:cs="Calibri"/>
          <w:b w:val="0"/>
          <w:i w:val="0"/>
          <w:lang w:val="fr-FR" w:eastAsia="fr-FR" w:bidi="fr-FR"/>
        </w:rPr>
        <w:t>Les schémas Zod valident de nombreux corps de requête et paramètres de requête. Une couche d'erreur centralisée renvoie des réponses d'échec cohérentes et propage les identifiants de requête. La définition OpenAPI manuelle documente 158 opérations pour 268 gestionnaires à l'exécution — soit environ 59 % de couverture — et doit donc être considérée comme une référence partielle, non comme le contrat complet faisant autorité.</w:t>
      </w:r>
    </w:p>
    <w:p>
      <w:pPr>
        <w:keepLines/>
        <w:spacing w:before="100" w:after="200"/>
        <w:ind w:left="173" w:right="115"/>
        <w:shd w:fill="E8EEF5"/>
        <w:pBdr>
          <w:left w:val="single" w:sz="20" w:space="8" w:color="2E74B5"/>
        </w:pBdr>
      </w:pPr>
      <w:r>
        <w:rPr>
          <w:rFonts w:ascii="Calibri" w:hAnsi="Calibri" w:cs="Calibri"/>
          <w:b/>
          <w:color w:val="2E74B5"/>
          <w:lang w:val="fr-FR" w:eastAsia="fr-FR" w:bidi="fr-FR"/>
        </w:rPr>
        <w:t xml:space="preserve">Stratégie contractuelle recommandée  </w:t>
      </w:r>
      <w:r>
        <w:rPr>
          <w:rFonts w:ascii="Calibri" w:hAnsi="Calibri" w:cs="Calibri"/>
          <w:color w:val="101828"/>
          <w:lang w:val="fr-FR" w:eastAsia="fr-FR" w:bidi="fr-FR"/>
        </w:rPr>
        <w:t>Générer OpenAPI à partir des schémas de routes ou imposer dans la CI un registre route-vers-contrat. Utiliser le contrat généré pour les clients front-end typés et la documentation destinée aux fournisseurs, et faire échouer la CI lorsqu'une route publique ne possède pas de définition d'opération.</w:t>
      </w:r>
    </w:p>
    <w:p>
      <w:pPr>
        <w:pStyle w:val="Heading2"/>
      </w:pPr>
      <w:r>
        <w:rPr>
          <w:lang w:val="fr-FR" w:eastAsia="fr-FR" w:bidi="fr-FR"/>
        </w:rPr>
        <w:t>Dette technique dans le monolithe modulaire</w:t>
      </w:r>
    </w:p>
    <w:p>
      <w:pPr>
        <w:keepLines/>
        <w:numPr>
          <w:ilvl w:val="0"/>
          <w:numId w:val="10"/>
        </w:numPr>
        <w:spacing w:after="160" w:line="280" w:lineRule="auto"/>
      </w:pPr>
      <w:r>
        <w:rPr>
          <w:rFonts w:ascii="Calibri" w:hAnsi="Calibri" w:cs="Calibri"/>
          <w:lang w:val="fr-FR" w:eastAsia="fr-FR" w:bidi="fr-FR"/>
        </w:rPr>
        <w:t>Des entités de facturation historiques et récentes coexistent, ce qui accroît la complexité du rapprochement et des migrations.</w:t>
      </w:r>
    </w:p>
    <w:p>
      <w:pPr>
        <w:keepLines/>
        <w:numPr>
          <w:ilvl w:val="0"/>
          <w:numId w:val="10"/>
        </w:numPr>
        <w:spacing w:after="160" w:line="280" w:lineRule="auto"/>
      </w:pPr>
      <w:r>
        <w:rPr>
          <w:rFonts w:ascii="Calibri" w:hAnsi="Calibri" w:cs="Calibri"/>
          <w:lang w:val="fr-FR" w:eastAsia="fr-FR" w:bidi="fr-FR"/>
        </w:rPr>
        <w:t>Les anciens modèles Notification et les nouveaux modèles événement/outbox de notification coexistent.</w:t>
      </w:r>
    </w:p>
    <w:p>
      <w:pPr>
        <w:keepLines/>
        <w:numPr>
          <w:ilvl w:val="0"/>
          <w:numId w:val="10"/>
        </w:numPr>
        <w:spacing w:after="160" w:line="280" w:lineRule="auto"/>
      </w:pPr>
      <w:r>
        <w:rPr>
          <w:rFonts w:ascii="Calibri" w:hAnsi="Calibri" w:cs="Calibri"/>
          <w:lang w:val="fr-FR" w:eastAsia="fr-FR" w:bidi="fr-FR"/>
        </w:rPr>
        <w:t>Plusieurs dépendances semblent répétées ou inutilisées entre les front-ends et l'API, ce qui élargit la surface d'audit et de mise à niveau.</w:t>
      </w:r>
    </w:p>
    <w:p>
      <w:pPr>
        <w:keepLines/>
        <w:numPr>
          <w:ilvl w:val="0"/>
          <w:numId w:val="10"/>
        </w:numPr>
        <w:spacing w:after="160" w:line="280" w:lineRule="auto"/>
      </w:pPr>
      <w:r>
        <w:rPr>
          <w:rFonts w:ascii="Calibri" w:hAnsi="Calibri" w:cs="Calibri"/>
          <w:lang w:val="fr-FR" w:eastAsia="fr-FR" w:bidi="fr-FR"/>
        </w:rPr>
        <w:t>Certaines mutations sensibles du point de vue de la sécurité ne disposent pas encore d'une couverture d'audit complète, selon les notes internes de durcissement et l'inspection des routes.</w:t>
      </w:r>
    </w:p>
    <w:p>
      <w:pPr>
        <w:keepLines/>
        <w:numPr>
          <w:ilvl w:val="0"/>
          <w:numId w:val="10"/>
        </w:numPr>
        <w:spacing w:after="160" w:line="280" w:lineRule="auto"/>
      </w:pPr>
      <w:r>
        <w:rPr>
          <w:rFonts w:ascii="Calibri" w:hAnsi="Calibri" w:cs="Calibri"/>
          <w:lang w:val="fr-FR" w:eastAsia="fr-FR" w:bidi="fr-FR"/>
        </w:rPr>
        <w:t>Le contrôle de santé ne vérifie que la vivacité ; il n'atteste pas la disponibilité de la base, de Redis, du stockage de fichiers, des migrations ou des fournisseurs.</w:t>
      </w:r>
    </w:p>
    <w:p>
      <w:pPr>
        <w:pStyle w:val="Heading1"/>
      </w:pPr>
      <w:r>
        <w:rPr>
          <w:lang w:val="fr-FR" w:eastAsia="fr-FR" w:bidi="fr-FR"/>
        </w:rPr>
        <w:t>6. Architecture des données</w:t>
      </w:r>
    </w:p>
    <w:p>
      <w:pPr>
        <w:keepLines/>
        <w:spacing w:before="120" w:after="40"/>
        <w:jc w:val="center"/>
      </w:pPr>
      <w:r>
        <w:rPr>
          <w:lang w:val="fr-FR" w:eastAsia="fr-FR" w:bidi="fr-FR"/>
        </w:rPr>
        <w:drawing>
          <wp:inline xmlns:a="http://schemas.openxmlformats.org/drawingml/2006/main" xmlns:pic="http://schemas.openxmlformats.org/drawingml/2006/picture">
            <wp:extent cx="5760720" cy="3584448"/>
            <wp:docPr id="3" name="Picture 3" descr="Figure 3. Modèle relationnel central simplifié. Company constitue la racine dominante du tenant ; Reservation relie les éléments commerciaux et opérationnels." title="Core Data Model"/>
            <wp:cNvGraphicFramePr>
              <a:graphicFrameLocks noChangeAspect="1"/>
            </wp:cNvGraphicFramePr>
            <a:graphic>
              <a:graphicData uri="http://schemas.openxmlformats.org/drawingml/2006/picture">
                <pic:pic>
                  <pic:nvPicPr>
                    <pic:cNvPr id="0" name="core_data_model.png"/>
                    <pic:cNvPicPr/>
                  </pic:nvPicPr>
                  <pic:blipFill>
                    <a:blip r:embed="rId13"/>
                    <a:stretch>
                      <a:fillRect/>
                    </a:stretch>
                  </pic:blipFill>
                  <pic:spPr>
                    <a:xfrm>
                      <a:off x="0" y="0"/>
                      <a:ext cx="5760720" cy="3584448"/>
                    </a:xfrm>
                    <a:prstGeom prst="rect"/>
                  </pic:spPr>
                </pic:pic>
              </a:graphicData>
            </a:graphic>
          </wp:inline>
        </w:drawing>
      </w:r>
    </w:p>
    <w:p>
      <w:pPr>
        <w:pStyle w:val="Caption"/>
        <w:keepNext w:val="0"/>
      </w:pPr>
      <w:r>
        <w:rPr>
          <w:lang w:val="fr-FR" w:eastAsia="fr-FR" w:bidi="fr-FR"/>
        </w:rPr>
        <w:t>Figure 3. Modèle relationnel central simplifié. Company constitue la racine dominante du tenant ; Reservation relie les éléments commerciaux et opérationnels.</w:t>
      </w:r>
    </w:p>
    <w:p>
      <w:pPr>
        <w:pStyle w:val="Heading2"/>
      </w:pPr>
      <w:r>
        <w:rPr>
          <w:lang w:val="fr-FR" w:eastAsia="fr-FR" w:bidi="fr-FR"/>
        </w:rPr>
        <w:t>Plateforme de données</w:t>
      </w:r>
    </w:p>
    <w:p>
      <w:pPr>
        <w:keepLines w:val="0"/>
      </w:pPr>
      <w:r>
        <w:rPr>
          <w:rFonts w:ascii="Calibri" w:hAnsi="Calibri" w:cs="Calibri"/>
          <w:b w:val="0"/>
          <w:i w:val="0"/>
          <w:lang w:val="fr-FR" w:eastAsia="fr-FR" w:bidi="fr-FR"/>
        </w:rPr>
        <w:t>PostgreSQL est le système de référence, accessible via Prisma 5.13. Le schéma de 2 143 lignes définit 67 modèles et 60 énumérations, appuyés par 49 répertoires de migration totalisant environ 3 393 lignes SQL. Il s'agit d'un schéma opérationnel profond, avec des états de cycle de vie explicites, des historiques et des index par tenant.</w:t>
      </w:r>
    </w:p>
    <w:p>
      <w:pPr>
        <w:pStyle w:val="Heading2"/>
      </w:pPr>
      <w:r>
        <w:rPr>
          <w:lang w:val="fr-FR" w:eastAsia="fr-FR" w:bidi="fr-FR"/>
        </w:rPr>
        <w:t>Modèle d'isolation des tenants</w:t>
      </w:r>
    </w:p>
    <w:p>
      <w:pPr>
        <w:keepLines w:val="0"/>
      </w:pPr>
      <w:r>
        <w:rPr>
          <w:rFonts w:ascii="Calibri" w:hAnsi="Calibri" w:cs="Calibri"/>
          <w:b w:val="0"/>
          <w:i w:val="0"/>
          <w:lang w:val="fr-FR" w:eastAsia="fr-FR" w:bidi="fr-FR"/>
        </w:rPr>
        <w:t>Company est la racine principale du tenant. Les dépôts sensibles au tenant reçoivent ou déduisent companyId, et les middlewares société/employé rattachent un acteur authentifié à une société active. La plupart des enregistrements métier — véhicules, clients, réservations, offres, réclamations, données de facturation, préférences et paramètres — portent le périmètre de la société ou y accèdent par des relations obligatoires. Il s'agit d'une isolation logique imposée par l'application, et non d'une base de données par tenant.</w:t>
      </w:r>
    </w:p>
    <w:p>
      <w:pPr>
        <w:keepLines/>
        <w:numPr>
          <w:ilvl w:val="0"/>
          <w:numId w:val="10"/>
        </w:numPr>
        <w:spacing w:after="160" w:line="280" w:lineRule="auto"/>
      </w:pPr>
      <w:r>
        <w:rPr>
          <w:rFonts w:ascii="Calibri" w:hAnsi="Calibri" w:cs="Calibri"/>
          <w:lang w:val="fr-FR" w:eastAsia="fr-FR" w:bidi="fr-FR"/>
        </w:rPr>
        <w:t>Avantage : un schéma unique permet les transactions inter-domaines et l'administration à l'échelle de la plateforme.</w:t>
      </w:r>
    </w:p>
    <w:p>
      <w:pPr>
        <w:keepLines/>
        <w:numPr>
          <w:ilvl w:val="0"/>
          <w:numId w:val="10"/>
        </w:numPr>
        <w:spacing w:after="160" w:line="280" w:lineRule="auto"/>
      </w:pPr>
      <w:r>
        <w:rPr>
          <w:rFonts w:ascii="Calibri" w:hAnsi="Calibri" w:cs="Calibri"/>
          <w:lang w:val="fr-FR" w:eastAsia="fr-FR" w:bidi="fr-FR"/>
        </w:rPr>
        <w:t>Risque : l'isolation des tenants dépend de la préservation des prédicats de société dans chaque chemin de requête ; aucune sécurité au niveau des lignes de la base n'est démontrée.</w:t>
      </w:r>
    </w:p>
    <w:p>
      <w:pPr>
        <w:keepLines/>
        <w:numPr>
          <w:ilvl w:val="0"/>
          <w:numId w:val="10"/>
        </w:numPr>
        <w:spacing w:after="160" w:line="280" w:lineRule="auto"/>
      </w:pPr>
      <w:r>
        <w:rPr>
          <w:rFonts w:ascii="Calibri" w:hAnsi="Calibri" w:cs="Calibri"/>
          <w:lang w:val="fr-FR" w:eastAsia="fr-FR" w:bidi="fr-FR"/>
        </w:rPr>
        <w:t>Conséquence pour les contrôles : des tests contractuels de tenancy au niveau des dépôts et la revue des requêtes sont indispensables, notamment pour les nouvelles routes d'administration, de recherche, de reporting, d'export et publiques.</w:t>
      </w:r>
    </w:p>
    <w:p>
      <w:pPr>
        <w:pStyle w:val="Heading2"/>
      </w:pPr>
      <w:r>
        <w:rPr>
          <w:lang w:val="fr-FR" w:eastAsia="fr-FR" w:bidi="fr-FR"/>
        </w:rPr>
        <w:t>Relations principales du domaine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600"/>
        <w:gridCol w:w="4050"/>
        <w:gridCol w:w="371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Agrégat</w:t>
            </w:r>
          </w:p>
        </w:tc>
        <w:tc>
          <w:tcPr>
            <w:tcW w:type="dxa" w:w="40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Relations clés</w:t>
            </w:r>
          </w:p>
        </w:tc>
        <w:tc>
          <w:tcPr>
            <w:tcW w:type="dxa" w:w="371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Portée de conception</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Société</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Employés, véhicules, clients, réservations, offres, abonnement, facturation, paramètres, notifications, réclamations</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Frontière de propriété et de configuration du tenant.</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Véhicule</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Réservations, journaux de maintenance, blocages calendrier, configuration/règles/historique de tarification</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Relie inventaire, disponibilité, tarification et coût d'exploitation.</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Client</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Réservations, réclamations ; identifiant de locataire facultatif</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Identité CRM du tenant. Un scalaire renterId facultatif ne possède pas de relation Prisma explicite.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Réservation</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Société, véhicule, client, locataire/offre facultatifs, paiements, assurance, conducteurs, dommages, photos, avis, accès public</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Enregistrement transactionnel et probant central.</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Abonnement</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Plan, événements, factures, compte de facturation/intention/tentative/remboursement/taxe/crédit</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Monétisation SaaS et état d'accès aux fonctionnalités.</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NotificationEvent</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Destinataires, livraisons, outbox, modèles/préférences</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Intention durable et suivi des livraisons ; worker incomplet.</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AdminUser</w:t>
            </w:r>
          </w:p>
        </w:tc>
        <w:tc>
          <w:tcPr>
            <w:tcW w:type="dxa" w:w="40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Autorisations, codes de récupération, journaux d'audit</w:t>
            </w:r>
          </w:p>
        </w:tc>
        <w:tc>
          <w:tcPr>
            <w:tcW w:type="dxa" w:w="37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Identité globale de contrôle de plateforme distincte des employés des tenants.</w:t>
            </w:r>
          </w:p>
        </w:tc>
      </w:tr>
    </w:tbl>
    <w:p>
      <w:pPr>
        <w:spacing w:after="20"/>
      </w:pPr>
    </w:p>
    <w:p>
      <w:pPr>
        <w:pStyle w:val="Heading2"/>
      </w:pPr>
      <w:r>
        <w:rPr>
          <w:lang w:val="fr-FR" w:eastAsia="fr-FR" w:bidi="fr-FR"/>
        </w:rPr>
        <w:t>Points de vigilance sur la cohérence des données</w:t>
      </w:r>
    </w:p>
    <w:p>
      <w:pPr>
        <w:keepLines/>
        <w:numPr>
          <w:ilvl w:val="0"/>
          <w:numId w:val="10"/>
        </w:numPr>
        <w:spacing w:after="160" w:line="280" w:lineRule="auto"/>
      </w:pPr>
      <w:r>
        <w:rPr>
          <w:rFonts w:ascii="Calibri" w:hAnsi="Calibri" w:cs="Calibri"/>
          <w:lang w:val="fr-FR" w:eastAsia="fr-FR" w:bidi="fr-FR"/>
        </w:rPr>
        <w:t>Le domaine de facturation contient d'anciens enregistrements SubscriptionInvoice / PaymentAttempt et une famille plus récente BillingInvoice / BillingPaymentIntent ; les règles de migration et de source de vérité doivent être explicites.</w:t>
      </w:r>
    </w:p>
    <w:p>
      <w:pPr>
        <w:keepLines/>
        <w:numPr>
          <w:ilvl w:val="0"/>
          <w:numId w:val="10"/>
        </w:numPr>
        <w:spacing w:after="160" w:line="280" w:lineRule="auto"/>
      </w:pPr>
      <w:r>
        <w:rPr>
          <w:rFonts w:ascii="Calibri" w:hAnsi="Calibri" w:cs="Calibri"/>
          <w:lang w:val="fr-FR" w:eastAsia="fr-FR" w:bidi="fr-FR"/>
        </w:rPr>
        <w:t>Notification dispose à la fois d'un ancien modèle à enregistrement unique et d'un modèle plus riche événement/destinataire/livraison/outbox ; les lectures et la conservation doivent converger vers un cycle de vie unique.</w:t>
      </w:r>
    </w:p>
    <w:p>
      <w:pPr>
        <w:keepLines/>
        <w:numPr>
          <w:ilvl w:val="0"/>
          <w:numId w:val="10"/>
        </w:numPr>
        <w:spacing w:after="160" w:line="280" w:lineRule="auto"/>
      </w:pPr>
      <w:r>
        <w:rPr>
          <w:rFonts w:ascii="Calibri" w:hAnsi="Calibri" w:cs="Calibri"/>
          <w:lang w:val="fr-FR" w:eastAsia="fr-FR" w:bidi="fr-FR"/>
        </w:rPr>
        <w:t>Le lien entre Customer et Renter est représenté par un scalaire sans relation Prisma déclarée, ce qui réduit la clarté référentielle.</w:t>
      </w:r>
    </w:p>
    <w:p>
      <w:pPr>
        <w:keepLines/>
        <w:numPr>
          <w:ilvl w:val="0"/>
          <w:numId w:val="10"/>
        </w:numPr>
        <w:spacing w:after="160" w:line="280" w:lineRule="auto"/>
      </w:pPr>
      <w:r>
        <w:rPr>
          <w:rFonts w:ascii="Calibri" w:hAnsi="Calibri" w:cs="Calibri"/>
          <w:lang w:val="fr-FR" w:eastAsia="fr-FR" w:bidi="fr-FR"/>
        </w:rPr>
        <w:t>La migration des conteneurs est un placeholder sans effet et le modèle CompanyContainer attendu est absent, alors que le code du service et de l'interface suppose son existence.</w:t>
      </w:r>
    </w:p>
    <w:p>
      <w:pPr>
        <w:keepLines/>
        <w:numPr>
          <w:ilvl w:val="0"/>
          <w:numId w:val="10"/>
        </w:numPr>
        <w:spacing w:after="160" w:line="280" w:lineRule="auto"/>
      </w:pPr>
      <w:r>
        <w:rPr>
          <w:rFonts w:ascii="Calibri" w:hAnsi="Calibri" w:cs="Calibri"/>
          <w:lang w:val="fr-FR" w:eastAsia="fr-FR" w:bidi="fr-FR"/>
        </w:rPr>
        <w:t>Aucune sécurité au niveau des lignes imposée par la base, aucun chiffrement de champs, aucune automatisation de conservation ni aucun workflow d'anonymisation n'a été démontré pour les données personnelles.</w:t>
      </w:r>
    </w:p>
    <w:p>
      <w:pPr>
        <w:pStyle w:val="Heading2"/>
      </w:pPr>
      <w:r>
        <w:rPr>
          <w:lang w:val="fr-FR" w:eastAsia="fr-FR" w:bidi="fr-FR"/>
        </w:rPr>
        <w:t>Sauvegarde et reprise</w:t>
      </w:r>
    </w:p>
    <w:p>
      <w:pPr>
        <w:keepLines w:val="0"/>
      </w:pPr>
      <w:r>
        <w:rPr>
          <w:rFonts w:ascii="Calibri" w:hAnsi="Calibri" w:cs="Calibri"/>
          <w:b w:val="0"/>
          <w:i w:val="0"/>
          <w:lang w:val="fr-FR" w:eastAsia="fr-FR" w:bidi="fr-FR"/>
        </w:rPr>
        <w:t>Les scripts racine font référence à des commandes de sauvegarde et de restauration de production, mais leur implémentation et l'environnement Compose sont absents. Aucune preuve n'est donc fournie concernant la planification des sauvegardes, la restauration à un instant donné, le chiffrement, la conservation, la réplication hors site, les tests de restauration ou les objectifs de reprise. Il s'agit d'un jalon de production, et non d'un simple détail documentaire.</w:t>
      </w:r>
    </w:p>
    <w:p>
      <w:pPr>
        <w:pStyle w:val="Heading1"/>
      </w:pPr>
      <w:r>
        <w:rPr>
          <w:lang w:val="fr-FR" w:eastAsia="fr-FR" w:bidi="fr-FR"/>
        </w:rPr>
        <w:t>7. Identité, tenancy et contrôle d'accès</w:t>
      </w:r>
    </w:p>
    <w:p>
      <w:pPr>
        <w:pStyle w:val="Heading2"/>
      </w:pPr>
      <w:r>
        <w:rPr>
          <w:lang w:val="fr-FR" w:eastAsia="fr-FR" w:bidi="fr-FR"/>
        </w:rPr>
        <w:t>Modèle d'authentification</w:t>
      </w:r>
    </w:p>
    <w:p>
      <w:pPr>
        <w:keepLines w:val="0"/>
      </w:pPr>
      <w:r>
        <w:rPr>
          <w:rFonts w:ascii="Calibri" w:hAnsi="Calibri" w:cs="Calibri"/>
          <w:b w:val="0"/>
          <w:i w:val="0"/>
          <w:lang w:val="fr-FR" w:eastAsia="fr-FR" w:bidi="fr-FR"/>
        </w:rPr>
        <w:t>La plateforme utilise des JWT signés par HMAC avec HS256, l'émetteur rentaldrivego-api et des audiences propres aux administrateurs, employés et locataires. L'authentification peut transiter par des cookies HttpOnly ou des jetons bearer. Le secret JWT est obligatoire. Les paramètres des cookies varient selon l'acteur : les cookies administrateur utilisent SameSite=Strict, tandis que les autres sessions navigateur utilisent Lax ; en production, les cookies sont Secure.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3000"/>
        <w:gridCol w:w="4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Acteur</w:t>
            </w:r>
          </w:p>
        </w:tc>
        <w:tc>
          <w:tcPr>
            <w:tcW w:type="dxa" w:w="30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Authentification</w:t>
            </w:r>
          </w:p>
        </w:tc>
        <w:tc>
          <w:tcPr>
            <w:tcW w:type="dxa" w:w="46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Autorisation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Administrateur de plateforme</w:t>
            </w:r>
          </w:p>
        </w:tc>
        <w:tc>
          <w:tcPr>
            <w:tcW w:type="dxa" w:w="3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Cookie/bearer JWT, compte administrateur, 2FA TOTP</w:t>
            </w:r>
          </w:p>
        </w:tc>
        <w:tc>
          <w:tcPr>
            <w:tcW w:type="dxa" w:w="4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Listes d'autorisation explicites : SUPER_ADMIN, ADMIN, SUPPORT, FINANCE, VIEWER ; 2FA récente pour les chemins sensibles.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Employé du tenant</w:t>
            </w:r>
          </w:p>
        </w:tc>
        <w:tc>
          <w:tcPr>
            <w:tcW w:type="dxa" w:w="3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Cookie/bearer JWT, recherche de l'employé et de la société actifs</w:t>
            </w:r>
          </w:p>
        </w:tc>
        <w:tc>
          <w:tcPr>
            <w:tcW w:type="dxa" w:w="4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Contrôles de rang OWNER / MANAGER / AGENT, plus barrières de tenant et d'abonnement.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Locataire</w:t>
            </w:r>
          </w:p>
        </w:tc>
        <w:tc>
          <w:tcPr>
            <w:tcW w:type="dxa" w:w="3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L'audience JWT et le modèle de compte existent</w:t>
            </w:r>
          </w:p>
        </w:tc>
        <w:tc>
          <w:tcPr>
            <w:tcW w:type="dxa" w:w="4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 place de marché publique/invité domine ; les routes de connexion/inscription locataire sont désactivées dans le routage examiné.</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Clé API</w:t>
            </w:r>
          </w:p>
        </w:tc>
        <w:tc>
          <w:tcPr>
            <w:tcW w:type="dxa" w:w="3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Recherche par préfixe, hachage SHA-256, comparaison résistante au timing, révocation</w:t>
            </w:r>
          </w:p>
        </w:tc>
        <w:tc>
          <w:tcPr>
            <w:tcW w:type="dxa" w:w="4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Intégrations sélectionnées limitées par les métadonnées de clé et le tenant.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Jeton d'accès public</w:t>
            </w:r>
          </w:p>
        </w:tc>
        <w:tc>
          <w:tcPr>
            <w:tcW w:type="dxa" w:w="3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Jeton aléatoire opaque ; stocké haché</w:t>
            </w:r>
          </w:p>
        </w:tc>
        <w:tc>
          <w:tcPr>
            <w:tcW w:type="dxa" w:w="4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Accès limité aux réservations/ressources publiques.</w:t>
            </w:r>
          </w:p>
        </w:tc>
      </w:tr>
    </w:tbl>
    <w:p>
      <w:pPr>
        <w:spacing w:after="20"/>
      </w:pPr>
    </w:p>
    <w:p>
      <w:pPr>
        <w:pStyle w:val="Heading2"/>
      </w:pPr>
      <w:r>
        <w:rPr>
          <w:lang w:val="fr-FR" w:eastAsia="fr-FR" w:bidi="fr-FR"/>
        </w:rPr>
        <w:t>Forces des contrôles</w:t>
      </w:r>
    </w:p>
    <w:p>
      <w:pPr>
        <w:keepLines/>
        <w:numPr>
          <w:ilvl w:val="0"/>
          <w:numId w:val="10"/>
        </w:numPr>
        <w:spacing w:after="160" w:line="280" w:lineRule="auto"/>
      </w:pPr>
      <w:r>
        <w:rPr>
          <w:rFonts w:ascii="Calibri" w:hAnsi="Calibri" w:cs="Calibri"/>
          <w:lang w:val="fr-FR" w:eastAsia="fr-FR" w:bidi="fr-FR"/>
        </w:rPr>
        <w:t>Les mots de passe utilisent bcrypt avec un coût de 12.</w:t>
      </w:r>
    </w:p>
    <w:p>
      <w:pPr>
        <w:keepLines/>
        <w:numPr>
          <w:ilvl w:val="0"/>
          <w:numId w:val="10"/>
        </w:numPr>
        <w:spacing w:after="160" w:line="280" w:lineRule="auto"/>
      </w:pPr>
      <w:r>
        <w:rPr>
          <w:rFonts w:ascii="Calibri" w:hAnsi="Calibri" w:cs="Calibri"/>
          <w:lang w:val="fr-FR" w:eastAsia="fr-FR" w:bidi="fr-FR"/>
        </w:rPr>
        <w:t>Les jetons de vérification d'e-mail et les clés API sont stockés sous forme de hachages ; la comparaison des clés API résiste aux attaques temporelles.</w:t>
      </w:r>
    </w:p>
    <w:p>
      <w:pPr>
        <w:keepLines/>
        <w:numPr>
          <w:ilvl w:val="0"/>
          <w:numId w:val="10"/>
        </w:numPr>
        <w:spacing w:after="160" w:line="280" w:lineRule="auto"/>
      </w:pPr>
      <w:r>
        <w:rPr>
          <w:rFonts w:ascii="Calibri" w:hAnsi="Calibri" w:cs="Calibri"/>
          <w:lang w:val="fr-FR" w:eastAsia="fr-FR" w:bidi="fr-FR"/>
        </w:rPr>
        <w:t>L'enrôlement à deux facteurs des administrateurs et les contrôles de fraîcheur sont explicites, avec prise en charge de codes de récupération.</w:t>
      </w:r>
    </w:p>
    <w:p>
      <w:pPr>
        <w:keepLines/>
        <w:numPr>
          <w:ilvl w:val="0"/>
          <w:numId w:val="10"/>
        </w:numPr>
        <w:spacing w:after="160" w:line="280" w:lineRule="auto"/>
      </w:pPr>
      <w:r>
        <w:rPr>
          <w:rFonts w:ascii="Calibri" w:hAnsi="Calibri" w:cs="Calibri"/>
          <w:lang w:val="fr-FR" w:eastAsia="fr-FR" w:bidi="fr-FR"/>
        </w:rPr>
        <w:t>Le middleware de tenant recharge le contexte de la société active au lieu de faire confiance à un identifiant fourni par le client.</w:t>
      </w:r>
    </w:p>
    <w:p>
      <w:pPr>
        <w:keepLines/>
        <w:numPr>
          <w:ilvl w:val="0"/>
          <w:numId w:val="10"/>
        </w:numPr>
        <w:spacing w:after="160" w:line="280" w:lineRule="auto"/>
      </w:pPr>
      <w:r>
        <w:rPr>
          <w:rFonts w:ascii="Calibri" w:hAnsi="Calibri" w:cs="Calibri"/>
          <w:lang w:val="fr-FR" w:eastAsia="fr-FR" w:bidi="fr-FR"/>
        </w:rPr>
        <w:t>Le middleware d'abonnement distingue les états de lecture, d'écriture et d'accès complet.</w:t>
      </w:r>
    </w:p>
    <w:p>
      <w:pPr>
        <w:keepLines/>
        <w:numPr>
          <w:ilvl w:val="0"/>
          <w:numId w:val="10"/>
        </w:numPr>
        <w:spacing w:after="160" w:line="280" w:lineRule="auto"/>
      </w:pPr>
      <w:r>
        <w:rPr>
          <w:rFonts w:ascii="Calibri" w:hAnsi="Calibri" w:cs="Calibri"/>
          <w:lang w:val="fr-FR" w:eastAsia="fr-FR" w:bidi="fr-FR"/>
        </w:rPr>
        <w:t>Les mutations authentifiées par cookie sont protégées par des contrôles des en-têtes Origin/Referer autorisés afin de réduire le risque CSRF.</w:t>
      </w:r>
    </w:p>
    <w:p>
      <w:pPr>
        <w:pStyle w:val="Heading2"/>
      </w:pPr>
      <w:r>
        <w:rPr>
          <w:lang w:val="fr-FR" w:eastAsia="fr-FR" w:bidi="fr-FR"/>
        </w:rPr>
        <w:t>Lacunes des contrôles</w:t>
      </w:r>
    </w:p>
    <w:p>
      <w:pPr>
        <w:keepLines/>
        <w:numPr>
          <w:ilvl w:val="0"/>
          <w:numId w:val="10"/>
        </w:numPr>
        <w:spacing w:after="160" w:line="280" w:lineRule="auto"/>
      </w:pPr>
      <w:r>
        <w:rPr>
          <w:rFonts w:ascii="Calibri" w:hAnsi="Calibri" w:cs="Calibri"/>
          <w:lang w:val="fr-FR" w:eastAsia="fr-FR" w:bidi="fr-FR"/>
        </w:rPr>
        <w:t>HS256 centralise la signature et la vérification dans un secret unique ; aucune preuve n'est fournie pour la rotation des secrets, la garde KMS/HSM, les identifiants de clés ou les procédures de chevauchement.</w:t>
      </w:r>
    </w:p>
    <w:p>
      <w:pPr>
        <w:keepLines/>
        <w:numPr>
          <w:ilvl w:val="0"/>
          <w:numId w:val="10"/>
        </w:numPr>
        <w:spacing w:after="160" w:line="280" w:lineRule="auto"/>
      </w:pPr>
      <w:r>
        <w:rPr>
          <w:rFonts w:ascii="Calibri" w:hAnsi="Calibri" w:cs="Calibri"/>
          <w:lang w:val="fr-FR" w:eastAsia="fr-FR" w:bidi="fr-FR"/>
        </w:rPr>
        <w:t>Les limites de débit utilisent par défaut la mémoire locale du processus. Les politiques par acteur/IP ne sont donc pas coordonnées entre les répliques et sont réinitialisées au redémarrage.</w:t>
      </w:r>
    </w:p>
    <w:p>
      <w:pPr>
        <w:keepLines/>
        <w:numPr>
          <w:ilvl w:val="0"/>
          <w:numId w:val="10"/>
        </w:numPr>
        <w:spacing w:after="160" w:line="280" w:lineRule="auto"/>
      </w:pPr>
      <w:r>
        <w:rPr>
          <w:rFonts w:ascii="Calibri" w:hAnsi="Calibri" w:cs="Calibri"/>
          <w:lang w:val="fr-FR" w:eastAsia="fr-FR" w:bidi="fr-FR"/>
        </w:rPr>
        <w:t>Un parcours d'invitation d'équipe stocke un jeton brut de réinitialisation de mot de passe dans la base ; cette exposition au repos doit être supprimée en ne stockant qu'un hachage ou une référence d'échange à usage unique.</w:t>
      </w:r>
    </w:p>
    <w:p>
      <w:pPr>
        <w:keepLines/>
        <w:numPr>
          <w:ilvl w:val="0"/>
          <w:numId w:val="10"/>
        </w:numPr>
        <w:spacing w:after="160" w:line="280" w:lineRule="auto"/>
      </w:pPr>
      <w:r>
        <w:rPr>
          <w:rFonts w:ascii="Calibri" w:hAnsi="Calibri" w:cs="Calibri"/>
          <w:lang w:val="fr-FR" w:eastAsia="fr-FR" w:bidi="fr-FR"/>
        </w:rPr>
        <w:t>Certains comportements de réinitialisation de mot de passe conservent des chemins de compatibilité historiques ; un protocole unique et versionné doit remplacer ces sémantiques mixtes.</w:t>
      </w:r>
    </w:p>
    <w:p>
      <w:pPr>
        <w:keepLines/>
        <w:numPr>
          <w:ilvl w:val="0"/>
          <w:numId w:val="10"/>
        </w:numPr>
        <w:spacing w:after="160" w:line="280" w:lineRule="auto"/>
      </w:pPr>
      <w:r>
        <w:rPr>
          <w:rFonts w:ascii="Calibri" w:hAnsi="Calibri" w:cs="Calibri"/>
          <w:lang w:val="fr-FR" w:eastAsia="fr-FR" w:bidi="fr-FR"/>
        </w:rPr>
        <w:t>La barrière du front-end administrateur est côté client pour l'expérience utilisateur ; chaque chemin serveur/API doit donc rester l'autorité. Les contrôles backend semblent présents, mais des tests contractuels doivent prouver cette frontière.</w:t>
      </w:r>
    </w:p>
    <w:p>
      <w:pPr>
        <w:keepLines/>
        <w:numPr>
          <w:ilvl w:val="0"/>
          <w:numId w:val="10"/>
        </w:numPr>
        <w:spacing w:after="160" w:line="280" w:lineRule="auto"/>
      </w:pPr>
      <w:r>
        <w:rPr>
          <w:rFonts w:ascii="Calibri" w:hAnsi="Calibri" w:cs="Calibri"/>
          <w:lang w:val="fr-FR" w:eastAsia="fr-FR" w:bidi="fr-FR"/>
        </w:rPr>
        <w:t>Aucun moteur centralisé de politique d'autorisation n'existe ; les listes de rôles au niveau des routes peuvent dériver à mesure que la surface s'étend.</w:t>
      </w:r>
    </w:p>
    <w:p>
      <w:pPr>
        <w:keepLines/>
        <w:spacing w:before="100" w:after="200"/>
        <w:ind w:left="173" w:right="115"/>
        <w:shd w:fill="EAF5EF"/>
        <w:pBdr>
          <w:left w:val="single" w:sz="20" w:space="8" w:color="1F5E46"/>
        </w:pBdr>
      </w:pPr>
      <w:r>
        <w:rPr>
          <w:rFonts w:ascii="Calibri" w:hAnsi="Calibri" w:cs="Calibri"/>
          <w:b/>
          <w:color w:val="1F5E46"/>
          <w:lang w:val="fr-FR" w:eastAsia="fr-FR" w:bidi="fr-FR"/>
        </w:rPr>
        <w:t xml:space="preserve">Lecture pour l'investisseur  </w:t>
      </w:r>
      <w:r>
        <w:rPr>
          <w:rFonts w:ascii="Calibri" w:hAnsi="Calibri" w:cs="Calibri"/>
          <w:color w:val="101828"/>
          <w:lang w:val="fr-FR" w:eastAsia="fr-FR" w:bidi="fr-FR"/>
        </w:rPr>
        <w:t>Les contrôles d'identité et de tenant sont sensiblement plus solides que la couche de packaging et d'exploitation. Le prochain investissement de sécurité doit viser la preuve continue de l'application des contrôles — tests de politiques centrales, rotation des secrets, barrières sur les dépendances, exhaustivité des audits et télémétrie de production — plutôt que le remplacement complet du modèle d'authentification.</w:t>
      </w:r>
    </w:p>
    <w:p>
      <w:pPr>
        <w:pStyle w:val="Heading1"/>
      </w:pPr>
      <w:r>
        <w:rPr>
          <w:lang w:val="fr-FR" w:eastAsia="fr-FR" w:bidi="fr-FR"/>
        </w:rPr>
        <w:t>8. Réservation et flux opérationnels</w:t>
      </w:r>
    </w:p>
    <w:p>
      <w:pPr>
        <w:keepLines/>
        <w:spacing w:before="120" w:after="40"/>
        <w:jc w:val="center"/>
      </w:pPr>
      <w:r>
        <w:rPr>
          <w:lang w:val="fr-FR" w:eastAsia="fr-FR" w:bidi="fr-FR"/>
        </w:rPr>
        <w:drawing>
          <wp:inline xmlns:a="http://schemas.openxmlformats.org/drawingml/2006/main" xmlns:pic="http://schemas.openxmlformats.org/drawingml/2006/picture">
            <wp:extent cx="5760720" cy="3200400"/>
            <wp:docPr id="4" name="Picture 4" descr="Figure 4. Cycle de vie client simplifié, de la découverte sur la place de marché à la confirmation de paiement signée et aux opérations de location." title="Booking Lifecycle"/>
            <wp:cNvGraphicFramePr>
              <a:graphicFrameLocks noChangeAspect="1"/>
            </wp:cNvGraphicFramePr>
            <a:graphic>
              <a:graphicData uri="http://schemas.openxmlformats.org/drawingml/2006/picture">
                <pic:pic>
                  <pic:nvPicPr>
                    <pic:cNvPr id="0" name="booking_lifecycle.png"/>
                    <pic:cNvPicPr/>
                  </pic:nvPicPr>
                  <pic:blipFill>
                    <a:blip r:embed="rId14"/>
                    <a:stretch>
                      <a:fillRect/>
                    </a:stretch>
                  </pic:blipFill>
                  <pic:spPr>
                    <a:xfrm>
                      <a:off x="0" y="0"/>
                      <a:ext cx="5760720" cy="3200400"/>
                    </a:xfrm>
                    <a:prstGeom prst="rect"/>
                  </pic:spPr>
                </pic:pic>
              </a:graphicData>
            </a:graphic>
          </wp:inline>
        </w:drawing>
      </w:r>
    </w:p>
    <w:p>
      <w:pPr>
        <w:pStyle w:val="Caption"/>
        <w:keepNext w:val="0"/>
      </w:pPr>
      <w:r>
        <w:rPr>
          <w:lang w:val="fr-FR" w:eastAsia="fr-FR" w:bidi="fr-FR"/>
        </w:rPr>
        <w:t>Figure 4. Cycle de vie client simplifié, de la découverte sur la place de marché à la confirmation de paiement signée et aux opérations de location.</w:t>
      </w:r>
    </w:p>
    <w:p>
      <w:pPr>
        <w:pStyle w:val="Heading2"/>
      </w:pPr>
      <w:r>
        <w:rPr>
          <w:lang w:val="fr-FR" w:eastAsia="fr-FR" w:bidi="fr-FR"/>
        </w:rPr>
        <w:t>Parcours de la place de marché</w:t>
      </w:r>
    </w:p>
    <w:p>
      <w:pPr>
        <w:keepLines w:val="0"/>
      </w:pPr>
      <w:r>
        <w:rPr>
          <w:rFonts w:ascii="Calibri" w:hAnsi="Calibri" w:cs="Calibri"/>
          <w:b w:val="0"/>
          <w:i w:val="0"/>
          <w:lang w:val="fr-FR" w:eastAsia="fr-FR" w:bidi="fr-FR"/>
        </w:rPr>
        <w:t>Carplace expose une découverte inter-tenants tandis que l'API protège les opérations privées des tenants. Un invité peut rechercher par lieu/date, consulter les pages d'une société et d'un véhicule, obtenir les données de disponibilité/tarification et soumettre une demande de réservation via des écrans successifs de trajet, contact et récapitulatif. Les événements de funnel sont modélisés pour l'analyse de conversion.</w:t>
      </w:r>
    </w:p>
    <w:p>
      <w:pPr>
        <w:pStyle w:val="Heading2"/>
      </w:pPr>
      <w:r>
        <w:rPr>
          <w:lang w:val="fr-FR" w:eastAsia="fr-FR" w:bidi="fr-FR"/>
        </w:rPr>
        <w:t>Profondeur opérationnelle des réservations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4150"/>
        <w:gridCol w:w="351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Étape</w:t>
            </w:r>
          </w:p>
        </w:tc>
        <w:tc>
          <w:tcPr>
            <w:tcW w:type="dxa" w:w="41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Preuves dans le code/les données</w:t>
            </w:r>
          </w:p>
        </w:tc>
        <w:tc>
          <w:tcPr>
            <w:tcW w:type="dxa" w:w="351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Besoin de contrôle principal</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Disponibilité et devis</w:t>
            </w:r>
          </w:p>
        </w:tc>
        <w:tc>
          <w:tcPr>
            <w:tcW w:type="dxa" w:w="4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Blocages calendrier des véhicules, état de réservation, configuration/règles/historique tarifaires, offres</w:t>
            </w:r>
          </w:p>
        </w:tc>
        <w:tc>
          <w:tcPr>
            <w:tcW w:type="dxa" w:w="35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Détection transactionnelle des conflits et versionnage déterministe des prix.</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Collecte client</w:t>
            </w:r>
          </w:p>
        </w:tc>
        <w:tc>
          <w:tcPr>
            <w:tcW w:type="dxa" w:w="4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Enregistrements client/locataire, données/images de permis, conducteurs supplémentaires</w:t>
            </w:r>
          </w:p>
        </w:tc>
        <w:tc>
          <w:tcPr>
            <w:tcW w:type="dxa" w:w="35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Consentement, validation, chiffrement, conservation et accès au moindre privilège.</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Confirmation</w:t>
            </w:r>
          </w:p>
        </w:tc>
        <w:tc>
          <w:tcPr>
            <w:tcW w:type="dxa" w:w="4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Cycle de vie de la réservation, jeton d'accès public, enregistrements de paiement</w:t>
            </w:r>
          </w:p>
        </w:tc>
        <w:tc>
          <w:tcPr>
            <w:tcW w:type="dxa" w:w="35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Transitions idempotentes et rapprochement fournisseur.</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Contrat et remise</w:t>
            </w:r>
          </w:p>
        </w:tc>
        <w:tc>
          <w:tcPr>
            <w:tcW w:type="dxa" w:w="4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Paramètres de contrat, PDF, photos, assurance, inspections, points de dommage</w:t>
            </w:r>
          </w:p>
        </w:tc>
        <w:tc>
          <w:tcPr>
            <w:tcW w:type="dxa" w:w="35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Horodatages immuables, intégrité documentaire, preuves d'audit, stockage privé.</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Retour et suivi</w:t>
            </w:r>
          </w:p>
        </w:tc>
        <w:tc>
          <w:tcPr>
            <w:tcW w:type="dxa" w:w="41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Rapports de dommages, avis, réclamations, notifications</w:t>
            </w:r>
          </w:p>
        </w:tc>
        <w:tc>
          <w:tcPr>
            <w:tcW w:type="dxa" w:w="35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Preuves de litige, conservation, communication client, SLA de support.</w:t>
            </w:r>
          </w:p>
        </w:tc>
      </w:tr>
    </w:tbl>
    <w:p>
      <w:pPr>
        <w:spacing w:after="20"/>
      </w:pPr>
    </w:p>
    <w:p>
      <w:pPr>
        <w:pStyle w:val="Heading2"/>
      </w:pPr>
      <w:r>
        <w:rPr>
          <w:lang w:val="fr-FR" w:eastAsia="fr-FR" w:bidi="fr-FR"/>
        </w:rPr>
        <w:t>Concurrence et intégrité</w:t>
      </w:r>
    </w:p>
    <w:p>
      <w:pPr>
        <w:keepLines w:val="0"/>
      </w:pPr>
      <w:r>
        <w:rPr>
          <w:rFonts w:ascii="Calibri" w:hAnsi="Calibri" w:cs="Calibri"/>
          <w:b w:val="0"/>
          <w:i w:val="0"/>
          <w:lang w:val="fr-FR" w:eastAsia="fr-FR" w:bidi="fr-FR"/>
        </w:rPr>
        <w:t>Une plateforme de location échoue commercialement si deux clients peuvent réserver le même actif, si une nouvelle tentative crée des demandes en double, si un webhook est traité deux fois ou si un prix change après engagement. Le code comprend des protections utiles — transactions dans les services, enregistrements d'idempotence des webhooks fournisseurs, hachages de payloads et validation d'état — mais le cache d'idempotence des réservations publiques réside en mémoire locale et doit migrer vers un stockage partagé ou une contrainte d'unicité en base avant une exploitation multi-répliques.</w:t>
      </w:r>
    </w:p>
    <w:p>
      <w:pPr>
        <w:keepLines/>
        <w:numPr>
          <w:ilvl w:val="0"/>
          <w:numId w:val="10"/>
        </w:numPr>
        <w:spacing w:after="160" w:line="280" w:lineRule="auto"/>
      </w:pPr>
      <w:r>
        <w:rPr>
          <w:rFonts w:ascii="Calibri" w:hAnsi="Calibri" w:cs="Calibri"/>
          <w:lang w:val="fr-FR" w:eastAsia="fr-FR" w:bidi="fr-FR"/>
        </w:rPr>
        <w:t>Utiliser une stratégie d'unicité/exclusion en base ou une commande de réservation sérialisable autour du chevauchement véhicule/créneau, et non la seule disponibilité affichée dans l'interface.</w:t>
      </w:r>
    </w:p>
    <w:p>
      <w:pPr>
        <w:keepLines/>
        <w:numPr>
          <w:ilvl w:val="0"/>
          <w:numId w:val="10"/>
        </w:numPr>
        <w:spacing w:after="160" w:line="280" w:lineRule="auto"/>
      </w:pPr>
      <w:r>
        <w:rPr>
          <w:rFonts w:ascii="Calibri" w:hAnsi="Calibri" w:cs="Calibri"/>
          <w:lang w:val="fr-FR" w:eastAsia="fr-FR" w:bidi="fr-FR"/>
        </w:rPr>
        <w:t>Persister, lors de l'engagement, les entrées du devis, la version des règles, les taxes/frais, la source de remise, la devise et les totaux sous forme d'instantané immuable.</w:t>
      </w:r>
    </w:p>
    <w:p>
      <w:pPr>
        <w:keepLines/>
        <w:numPr>
          <w:ilvl w:val="0"/>
          <w:numId w:val="10"/>
        </w:numPr>
        <w:spacing w:after="160" w:line="280" w:lineRule="auto"/>
      </w:pPr>
      <w:r>
        <w:rPr>
          <w:rFonts w:ascii="Calibri" w:hAnsi="Calibri" w:cs="Calibri"/>
          <w:lang w:val="fr-FR" w:eastAsia="fr-FR" w:bidi="fr-FR"/>
        </w:rPr>
        <w:t>Exiger une clé d'idempotence client pour chaque commande de création, paiement ou remboursement ; l'imposer dans PostgreSQL ou Redis, avec un périmètre par tenant et endpoint.</w:t>
      </w:r>
    </w:p>
    <w:p>
      <w:pPr>
        <w:keepLines/>
        <w:numPr>
          <w:ilvl w:val="0"/>
          <w:numId w:val="10"/>
        </w:numPr>
        <w:spacing w:after="160" w:line="280" w:lineRule="auto"/>
      </w:pPr>
      <w:r>
        <w:rPr>
          <w:rFonts w:ascii="Calibri" w:hAnsi="Calibri" w:cs="Calibri"/>
          <w:lang w:val="fr-FR" w:eastAsia="fr-FR" w:bidi="fr-FR"/>
        </w:rPr>
        <w:t>Modéliser les transitions comme des commandes explicites, avec des états antérieurs autorisés et des faits d'audit en ajout seul pour les événements financiers et de remise.</w:t>
      </w:r>
    </w:p>
    <w:p>
      <w:pPr>
        <w:pStyle w:val="Heading2"/>
      </w:pPr>
      <w:r>
        <w:rPr>
          <w:lang w:val="fr-FR" w:eastAsia="fr-FR" w:bidi="fr-FR"/>
        </w:rPr>
        <w:t>Affirmation sur la validation du permis</w:t>
      </w:r>
    </w:p>
    <w:p>
      <w:pPr>
        <w:keepLines/>
        <w:spacing w:before="100" w:after="200"/>
        <w:ind w:left="173" w:right="115"/>
        <w:shd w:fill="FDECEC"/>
        <w:pBdr>
          <w:left w:val="single" w:sz="20" w:space="8" w:color="9B1C1C"/>
        </w:pBdr>
      </w:pPr>
      <w:r>
        <w:rPr>
          <w:rFonts w:ascii="Calibri" w:hAnsi="Calibri" w:cs="Calibri"/>
          <w:b/>
          <w:color w:val="9B1C1C"/>
          <w:lang w:val="fr-FR" w:eastAsia="fr-FR" w:bidi="fr-FR"/>
        </w:rPr>
        <w:t xml:space="preserve">Ne pas exagérer  </w:t>
      </w:r>
      <w:r>
        <w:rPr>
          <w:rFonts w:ascii="Calibri" w:hAnsi="Calibri" w:cs="Calibri"/>
          <w:color w:val="101828"/>
          <w:lang w:val="fr-FR" w:eastAsia="fr-FR" w:bidi="fr-FR"/>
        </w:rPr>
        <w:t>La validation du permis examinée se limite à l'analyse des dates et à la logique d'expiration. Elle ne prouve ni OCR, ni contrôle d'authenticité du document, ni détection du vivant, ni comparaison biométrique, ni filtrage des sanctions, ni vérification d'identité réglementée.</w:t>
      </w:r>
    </w:p>
    <w:p>
      <w:pPr>
        <w:pStyle w:val="Heading1"/>
      </w:pPr>
      <w:r>
        <w:rPr>
          <w:lang w:val="fr-FR" w:eastAsia="fr-FR" w:bidi="fr-FR"/>
        </w:rPr>
        <w:t>9. Conception commerciale, des abonnements et de la facturation</w:t>
      </w:r>
    </w:p>
    <w:p>
      <w:pPr>
        <w:pStyle w:val="Heading2"/>
      </w:pPr>
      <w:r>
        <w:rPr>
          <w:lang w:val="fr-FR" w:eastAsia="fr-FR" w:bidi="fr-FR"/>
        </w:rPr>
        <w:t>Catalogue des plans</w:t>
      </w:r>
    </w:p>
    <w:p>
      <w:pPr>
        <w:keepLines w:val="0"/>
      </w:pPr>
      <w:r>
        <w:rPr>
          <w:rFonts w:ascii="Calibri" w:hAnsi="Calibri" w:cs="Calibri"/>
          <w:b w:val="0"/>
          <w:i w:val="0"/>
          <w:lang w:val="fr-FR" w:eastAsia="fr-FR" w:bidi="fr-FR"/>
        </w:rPr>
        <w:t>Le code partagé définit quatre plans et des prix en MAD. La création de véhicules impose les limites de flotte propres au plan. L'état de l'abonnement pilote les modes d'accès et comprend des fenêtres temporelles automatisées pour l'essai, le paiement en attente, l'impayé, la suspension et la résiliation.</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2100"/>
        <w:gridCol w:w="1600"/>
        <w:gridCol w:w="1850"/>
        <w:gridCol w:w="3810"/>
      </w:tblGrid>
      <w:tr>
        <w:trPr>
          <w:tblHeader w:val="true"/>
          <w:cantSplit/>
        </w:trPr>
        <w:tc>
          <w:tcPr>
            <w:tcW w:type="dxa" w:w="21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Plan</w:t>
            </w:r>
          </w:p>
        </w:tc>
        <w:tc>
          <w:tcPr>
            <w:tcW w:type="dxa" w:w="1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Mensuel</w:t>
            </w:r>
          </w:p>
        </w:tc>
        <w:tc>
          <w:tcPr>
            <w:tcW w:type="dxa" w:w="18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Annuel</w:t>
            </w:r>
          </w:p>
        </w:tc>
        <w:tc>
          <w:tcPr>
            <w:tcW w:type="dxa" w:w="381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Limite de flotte dans le service</w:t>
            </w:r>
          </w:p>
        </w:tc>
      </w:tr>
      <w:tr>
        <w:trPr>
          <w:cantSplit/>
        </w:trPr>
        <w:tc>
          <w:tcPr>
            <w:tcW w:type="dxa" w:w="2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STARTER</w:t>
            </w:r>
          </w:p>
        </w:tc>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149 MAD</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1,430.40 MAD</w:t>
            </w:r>
          </w:p>
        </w:tc>
        <w:tc>
          <w:tcPr>
            <w:tcW w:type="dxa" w:w="38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25 véhicules</w:t>
            </w:r>
          </w:p>
        </w:tc>
      </w:tr>
      <w:tr>
        <w:trPr>
          <w:cantSplit/>
        </w:trPr>
        <w:tc>
          <w:tcPr>
            <w:tcW w:type="dxa" w:w="2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GROWTH</w:t>
            </w:r>
          </w:p>
        </w:tc>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299 MAD</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2,870.40 MAD</w:t>
            </w:r>
          </w:p>
        </w:tc>
        <w:tc>
          <w:tcPr>
            <w:tcW w:type="dxa" w:w="38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75 véhicules</w:t>
            </w:r>
          </w:p>
        </w:tc>
      </w:tr>
      <w:tr>
        <w:trPr>
          <w:cantSplit/>
        </w:trPr>
        <w:tc>
          <w:tcPr>
            <w:tcW w:type="dxa" w:w="2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PRO</w:t>
            </w:r>
          </w:p>
        </w:tc>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399 MAD</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3,830.40 MAD</w:t>
            </w:r>
          </w:p>
        </w:tc>
        <w:tc>
          <w:tcPr>
            <w:tcW w:type="dxa" w:w="38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150 véhicules</w:t>
            </w:r>
          </w:p>
        </w:tc>
      </w:tr>
      <w:tr>
        <w:trPr>
          <w:cantSplit/>
        </w:trPr>
        <w:tc>
          <w:tcPr>
            <w:tcW w:type="dxa" w:w="2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ENTERPRISE</w:t>
            </w:r>
          </w:p>
        </w:tc>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599 MAD</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5,750.40 MAD</w:t>
            </w:r>
          </w:p>
        </w:tc>
        <w:tc>
          <w:tcPr>
            <w:tcW w:type="dxa" w:w="381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Illimité</w:t>
            </w:r>
          </w:p>
        </w:tc>
      </w:tr>
    </w:tbl>
    <w:p>
      <w:pPr>
        <w:spacing w:after="20"/>
      </w:pPr>
    </w:p>
    <w:p>
      <w:pPr>
        <w:pStyle w:val="Heading2"/>
      </w:pPr>
      <w:r>
        <w:rPr>
          <w:lang w:val="fr-FR" w:eastAsia="fr-FR" w:bidi="fr-FR"/>
        </w:rPr>
        <w:t>Incohérence du catalogue</w:t>
      </w:r>
    </w:p>
    <w:p>
      <w:pPr>
        <w:keepLines w:val="0"/>
      </w:pPr>
      <w:r>
        <w:rPr>
          <w:rFonts w:ascii="Calibri" w:hAnsi="Calibri" w:cs="Calibri"/>
          <w:b w:val="0"/>
          <w:i w:val="0"/>
          <w:lang w:val="fr-FR" w:eastAsia="fr-FR" w:bidi="fr-FR"/>
        </w:rPr>
        <w:t>La configuration tarifaire de la page d'accueil annonce Launch à 149 MAD, Growth à 299 MAD et Enterprise sur mesure. Elle omet PRO et ne correspond pas aux noms/prix des quatre plans partagés. Elle marque en outre les prix publics comme approuvés. Il s'agit d'un risque direct de divergence entre vente et droits : les acheteurs peuvent recevoir un catalogue alors que le code en impose un autre.</w:t>
      </w:r>
    </w:p>
    <w:p>
      <w:pPr>
        <w:keepLines/>
        <w:numPr>
          <w:ilvl w:val="0"/>
          <w:numId w:val="10"/>
        </w:numPr>
        <w:spacing w:after="160" w:line="280" w:lineRule="auto"/>
      </w:pPr>
      <w:r>
        <w:rPr>
          <w:rFonts w:ascii="Calibri" w:hAnsi="Calibri" w:cs="Calibri"/>
          <w:lang w:val="fr-FR" w:eastAsia="fr-FR" w:bidi="fr-FR"/>
        </w:rPr>
        <w:t>Créer un catalogue de plans et une source de vérité des droits uniques, consommés par le marketing, le paiement, l'application des règles API, les descriptions de facture et les outils d'administration.</w:t>
      </w:r>
    </w:p>
    <w:p>
      <w:pPr>
        <w:keepLines/>
        <w:numPr>
          <w:ilvl w:val="0"/>
          <w:numId w:val="10"/>
        </w:numPr>
        <w:spacing w:after="160" w:line="280" w:lineRule="auto"/>
      </w:pPr>
      <w:r>
        <w:rPr>
          <w:rFonts w:ascii="Calibri" w:hAnsi="Calibri" w:cs="Calibri"/>
          <w:lang w:val="fr-FR" w:eastAsia="fr-FR" w:bidi="fr-FR"/>
        </w:rPr>
        <w:t>Ne pas analyser les libellés PlanFeature lisibles par l'humain pour déterminer les limites. Stocker des clés de droits typées et des valeurs numériques/textuelles.</w:t>
      </w:r>
    </w:p>
    <w:p>
      <w:pPr>
        <w:keepLines/>
        <w:numPr>
          <w:ilvl w:val="0"/>
          <w:numId w:val="10"/>
        </w:numPr>
        <w:spacing w:after="160" w:line="280" w:lineRule="auto"/>
      </w:pPr>
      <w:r>
        <w:rPr>
          <w:rFonts w:ascii="Calibri" w:hAnsi="Calibri" w:cs="Calibri"/>
          <w:lang w:val="fr-FR" w:eastAsia="fr-FR" w:bidi="fr-FR"/>
        </w:rPr>
        <w:t>Ajouter des tests contractuels prouvant que chaque droit annoncé est appliqué et que chaque limite imposée est décrite dans le catalogue commercial.</w:t>
      </w:r>
    </w:p>
    <w:p>
      <w:pPr>
        <w:pStyle w:val="Heading2"/>
      </w:pPr>
      <w:r>
        <w:rPr>
          <w:lang w:val="fr-FR" w:eastAsia="fr-FR" w:bidi="fr-FR"/>
        </w:rPr>
        <w:t>Machine à états de l'abonnement</w:t>
      </w:r>
    </w:p>
    <w:p>
      <w:pPr>
        <w:keepLines w:val="0"/>
      </w:pPr>
      <w:r>
        <w:rPr>
          <w:rFonts w:ascii="Calibri" w:hAnsi="Calibri" w:cs="Calibri"/>
          <w:b w:val="0"/>
          <w:i w:val="0"/>
          <w:lang w:val="fr-FR" w:eastAsia="fr-FR" w:bidi="fr-FR"/>
        </w:rPr>
        <w:t>Les règles examinées prévoient un essai de 30 jours, une fenêtre de paiement en attente de sept jours, une période d'impayé de sept jours, une suspension puis une résiliation autour du 16e jour. Les cartes d'accès distinguent les modes lecture/écriture/complet. Ces règles doivent devenir une machine à états explicite, avec codes de motif, horodatages d'effet, événements rejouables et un planificateur/une file unique, car les décisions d'accès affectent le revenu et les opérations clients.</w:t>
      </w:r>
    </w:p>
    <w:p>
      <w:pPr>
        <w:pStyle w:val="Heading2"/>
      </w:pPr>
      <w:r>
        <w:rPr>
          <w:lang w:val="fr-FR" w:eastAsia="fr-FR" w:bidi="fr-FR"/>
        </w:rPr>
        <w:t>Modèle de facturation</w:t>
      </w:r>
    </w:p>
    <w:p>
      <w:pPr>
        <w:keepLines w:val="0"/>
      </w:pPr>
      <w:r>
        <w:rPr>
          <w:rFonts w:ascii="Calibri" w:hAnsi="Calibri" w:cs="Calibri"/>
          <w:b w:val="0"/>
          <w:i w:val="0"/>
          <w:lang w:val="fr-FR" w:eastAsia="fr-FR" w:bidi="fr-FR"/>
        </w:rPr>
        <w:t>Le schéma contient une large famille moderne de facturation — comptes, moyens de paiement, factures, lignes, intentions, tentatives, solde/grand livre de crédit, avoirs, remboursements, registres fiscaux et événements de facturation — parallèlement à d'anciens modèles de facture d'abonnement et de tentative de paiement. Cela suggère une migration active. Les investisseurs doivent demander un état de rapprochement indiquant la source de vérité en production, l'avancement de la migration et le lien entre les totaux financiers et les grands livres des fournisseurs.</w:t>
      </w:r>
    </w:p>
    <w:p>
      <w:pPr>
        <w:keepLines/>
        <w:spacing w:before="100" w:after="200"/>
        <w:ind w:left="173" w:right="115"/>
        <w:shd w:fill="E8EEF5"/>
        <w:pBdr>
          <w:left w:val="single" w:sz="20" w:space="8" w:color="2E74B5"/>
        </w:pBdr>
      </w:pPr>
      <w:r>
        <w:rPr>
          <w:rFonts w:ascii="Calibri" w:hAnsi="Calibri" w:cs="Calibri"/>
          <w:b/>
          <w:color w:val="2E74B5"/>
          <w:lang w:val="fr-FR" w:eastAsia="fr-FR" w:bidi="fr-FR"/>
        </w:rPr>
        <w:t xml:space="preserve">Objectif de contrôle  </w:t>
      </w:r>
      <w:r>
        <w:rPr>
          <w:rFonts w:ascii="Calibri" w:hAnsi="Calibri" w:cs="Calibri"/>
          <w:color w:val="101828"/>
          <w:lang w:val="fr-FR" w:eastAsia="fr-FR" w:bidi="fr-FR"/>
        </w:rPr>
        <w:t>Toute opération déplaçant de l'argent doit avoir une commande interne immuable, une clé d'idempotence fournisseur, une conséquence comptable, un enregistrement de rapprochement webhook et un résultat auditable. L'état de l'interface ne doit jamais constituer le registre comptable.</w:t>
      </w:r>
    </w:p>
    <w:p>
      <w:pPr>
        <w:pStyle w:val="Heading1"/>
      </w:pPr>
      <w:r>
        <w:rPr>
          <w:lang w:val="fr-FR" w:eastAsia="fr-FR" w:bidi="fr-FR"/>
        </w:rPr>
        <w:t>10. Paiements et intégrations financières</w:t>
      </w:r>
    </w:p>
    <w:p>
      <w:pPr>
        <w:pStyle w:val="Heading2"/>
      </w:pPr>
      <w:r>
        <w:rPr>
          <w:lang w:val="fr-FR" w:eastAsia="fr-FR" w:bidi="fr-FR"/>
        </w:rPr>
        <w:t>Couverture des fournisseurs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500"/>
        <w:gridCol w:w="3830"/>
        <w:gridCol w:w="403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Fournisseur</w:t>
            </w:r>
          </w:p>
        </w:tc>
        <w:tc>
          <w:tcPr>
            <w:tcW w:type="dxa" w:w="38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Capacités implémentées</w:t>
            </w:r>
          </w:p>
        </w:tc>
        <w:tc>
          <w:tcPr>
            <w:tcW w:type="dxa" w:w="40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Note de diligence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Stripe</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Paiement, remboursements, webhooks signés, parcours de paiement d'abonnement</w:t>
            </w:r>
          </w:p>
        </w:tc>
        <w:tc>
          <w:tcPr>
            <w:tcW w:type="dxa" w:w="40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Le schéma/service actuel de paiement des abonnements n'accepte que Stripe.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PayPal</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Commande, capture, remboursement, validation des webhooks</w:t>
            </w:r>
          </w:p>
        </w:tc>
        <w:tc>
          <w:tcPr>
            <w:tcW w:type="dxa" w:w="40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Valider les identifiants réels, la couverture des événements, le rapprochement et la prise en charge de la devise locale.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AmanPay</w:t>
            </w:r>
          </w:p>
        </w:tc>
        <w:tc>
          <w:tcPr>
            <w:tcW w:type="dxa" w:w="38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Parcours HMAC de paiement et de remboursement</w:t>
            </w:r>
          </w:p>
        </w:tc>
        <w:tc>
          <w:tcPr>
            <w:tcW w:type="dxa" w:w="40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Semble être une intégration régionale ; confirmer le contrat fournisseur actuel et la certification de production.</w:t>
            </w:r>
          </w:p>
        </w:tc>
      </w:tr>
    </w:tbl>
    <w:p>
      <w:pPr>
        <w:spacing w:after="20"/>
      </w:pPr>
    </w:p>
    <w:p>
      <w:pPr>
        <w:pStyle w:val="Heading2"/>
      </w:pPr>
      <w:r>
        <w:rPr>
          <w:lang w:val="fr-FR" w:eastAsia="fr-FR" w:bidi="fr-FR"/>
        </w:rPr>
        <w:t>Conception des webhooks</w:t>
      </w:r>
    </w:p>
    <w:p>
      <w:pPr>
        <w:keepLines w:val="0"/>
      </w:pPr>
      <w:r>
        <w:rPr>
          <w:rFonts w:ascii="Calibri" w:hAnsi="Calibri" w:cs="Calibri"/>
          <w:b w:val="0"/>
          <w:i w:val="0"/>
          <w:lang w:val="fr-FR" w:eastAsia="fr-FR" w:bidi="fr-FR"/>
        </w:rPr>
        <w:t>Les gestionnaires de webhooks reçoivent les corps bruts avant l'analyse JSON, vérifient les signatures des fournisseurs et enregistrent les données WebhookEvent avec les hachages de payload et les états de traitement. Les événements en double peuvent être identifiés et les enregistrements PROCESSING expirés peuvent être retentés après dix minutes. Il s'agit d'une base saine pour une livraison fournisseur au moins une fois.</w:t>
      </w:r>
    </w:p>
    <w:p>
      <w:pPr>
        <w:keepLines/>
        <w:numPr>
          <w:ilvl w:val="0"/>
          <w:numId w:val="10"/>
        </w:numPr>
        <w:spacing w:after="160" w:line="280" w:lineRule="auto"/>
      </w:pPr>
      <w:r>
        <w:rPr>
          <w:rFonts w:ascii="Calibri" w:hAnsi="Calibri" w:cs="Calibri"/>
          <w:lang w:val="fr-FR" w:eastAsia="fr-FR" w:bidi="fr-FR"/>
        </w:rPr>
        <w:t>Point fort : la vérification des signatures et l'ordre de traitement du corps brut réduisent les risques d'usurpation et d'incompatibilité du parseur.</w:t>
      </w:r>
    </w:p>
    <w:p>
      <w:pPr>
        <w:keepLines/>
        <w:numPr>
          <w:ilvl w:val="0"/>
          <w:numId w:val="10"/>
        </w:numPr>
        <w:spacing w:after="160" w:line="280" w:lineRule="auto"/>
      </w:pPr>
      <w:r>
        <w:rPr>
          <w:rFonts w:ascii="Calibri" w:hAnsi="Calibri" w:cs="Calibri"/>
          <w:lang w:val="fr-FR" w:eastAsia="fr-FR" w:bidi="fr-FR"/>
        </w:rPr>
        <w:t>Point fort : les enregistrements d'événements persistés en base et les hachages de payload favorisent l'idempotence et l'analyse forensique.</w:t>
      </w:r>
    </w:p>
    <w:p>
      <w:pPr>
        <w:keepLines/>
        <w:numPr>
          <w:ilvl w:val="0"/>
          <w:numId w:val="10"/>
        </w:numPr>
        <w:spacing w:after="160" w:line="280" w:lineRule="auto"/>
      </w:pPr>
      <w:r>
        <w:rPr>
          <w:rFonts w:ascii="Calibri" w:hAnsi="Calibri" w:cs="Calibri"/>
          <w:lang w:val="fr-FR" w:eastAsia="fr-FR" w:bidi="fr-FR"/>
        </w:rPr>
        <w:t>Risque : la nouvelle tentative après dix minutes doit s'accompagner de commandes financières aval idempotentes ; sinon, un gestionnaire ayant planté peut dupliquer des effets de bord.</w:t>
      </w:r>
    </w:p>
    <w:p>
      <w:pPr>
        <w:keepLines/>
        <w:numPr>
          <w:ilvl w:val="0"/>
          <w:numId w:val="10"/>
        </w:numPr>
        <w:spacing w:after="160" w:line="280" w:lineRule="auto"/>
      </w:pPr>
      <w:r>
        <w:rPr>
          <w:rFonts w:ascii="Calibri" w:hAnsi="Calibri" w:cs="Calibri"/>
          <w:lang w:val="fr-FR" w:eastAsia="fr-FR" w:bidi="fr-FR"/>
        </w:rPr>
        <w:t>Risque : les métriques opérationnelles et la gestion des lettres mortes ne sont pas démontrées ; un webhook en échec permanent nécessite des alertes, un rejeu et des outils opérateur.</w:t>
      </w:r>
    </w:p>
    <w:p>
      <w:pPr>
        <w:pStyle w:val="Heading2"/>
      </w:pPr>
      <w:r>
        <w:rPr>
          <w:lang w:val="fr-FR" w:eastAsia="fr-FR" w:bidi="fr-FR"/>
        </w:rPr>
        <w:t>Liste de contrôle de l'assurance financière</w:t>
      </w:r>
    </w:p>
    <w:p>
      <w:pPr>
        <w:keepLines/>
        <w:numPr>
          <w:ilvl w:val="0"/>
          <w:numId w:val="10"/>
        </w:numPr>
        <w:spacing w:after="160" w:line="280" w:lineRule="auto"/>
      </w:pPr>
      <w:r>
        <w:rPr>
          <w:rFonts w:ascii="Calibri" w:hAnsi="Calibri" w:cs="Calibri"/>
          <w:lang w:val="fr-FR" w:eastAsia="fr-FR" w:bidi="fr-FR"/>
        </w:rPr>
        <w:t>Rapprochement quotidien fournisseur-interne par devise, statut, frais, remboursement et lot de règlement.</w:t>
      </w:r>
    </w:p>
    <w:p>
      <w:pPr>
        <w:keepLines/>
        <w:numPr>
          <w:ilvl w:val="0"/>
          <w:numId w:val="10"/>
        </w:numPr>
        <w:spacing w:after="160" w:line="280" w:lineRule="auto"/>
      </w:pPr>
      <w:r>
        <w:rPr>
          <w:rFonts w:ascii="Calibri" w:hAnsi="Calibri" w:cs="Calibri"/>
          <w:lang w:val="fr-FR" w:eastAsia="fr-FR" w:bidi="fr-FR"/>
        </w:rPr>
        <w:t>Piste d'audit immuable pour le paiement, la capture, l'échec, le remboursement, l'avoir et l'ajustement manuel.</w:t>
      </w:r>
    </w:p>
    <w:p>
      <w:pPr>
        <w:keepLines/>
        <w:numPr>
          <w:ilvl w:val="0"/>
          <w:numId w:val="10"/>
        </w:numPr>
        <w:spacing w:after="160" w:line="280" w:lineRule="auto"/>
      </w:pPr>
      <w:r>
        <w:rPr>
          <w:rFonts w:ascii="Calibri" w:hAnsi="Calibri" w:cs="Calibri"/>
          <w:lang w:val="fr-FR" w:eastAsia="fr-FR" w:bidi="fr-FR"/>
        </w:rPr>
        <w:t>Aucun stockage de données complètes de carte ; uniquement des méthodes hébergées/tokenisées par le fournisseur, avec un périmètre PCI documenté.</w:t>
      </w:r>
    </w:p>
    <w:p>
      <w:pPr>
        <w:keepLines/>
        <w:numPr>
          <w:ilvl w:val="0"/>
          <w:numId w:val="10"/>
        </w:numPr>
        <w:spacing w:after="160" w:line="280" w:lineRule="auto"/>
      </w:pPr>
      <w:r>
        <w:rPr>
          <w:rFonts w:ascii="Calibri" w:hAnsi="Calibri" w:cs="Calibri"/>
          <w:lang w:val="fr-FR" w:eastAsia="fr-FR" w:bidi="fr-FR"/>
        </w:rPr>
        <w:t>Règles formelles d'arrondi, de fiscalité, de change et de solde négatif couvertes par des tests de propriétés et de contrats.</w:t>
      </w:r>
    </w:p>
    <w:p>
      <w:pPr>
        <w:keepLines/>
        <w:numPr>
          <w:ilvl w:val="0"/>
          <w:numId w:val="10"/>
        </w:numPr>
        <w:spacing w:after="160" w:line="280" w:lineRule="auto"/>
      </w:pPr>
      <w:r>
        <w:rPr>
          <w:rFonts w:ascii="Calibri" w:hAnsi="Calibri" w:cs="Calibri"/>
          <w:lang w:val="fr-FR" w:eastAsia="fr-FR" w:bidi="fr-FR"/>
        </w:rPr>
        <w:t>Séparation des rôles et 2FA récente pour les remboursements, crédits, modifications tarifaires et administrations sensibles aux versements.</w:t>
      </w:r>
    </w:p>
    <w:p>
      <w:pPr>
        <w:keepLines/>
        <w:numPr>
          <w:ilvl w:val="0"/>
          <w:numId w:val="10"/>
        </w:numPr>
        <w:spacing w:after="160" w:line="280" w:lineRule="auto"/>
      </w:pPr>
      <w:r>
        <w:rPr>
          <w:rFonts w:ascii="Calibri" w:hAnsi="Calibri" w:cs="Calibri"/>
          <w:lang w:val="fr-FR" w:eastAsia="fr-FR" w:bidi="fr-FR"/>
        </w:rPr>
        <w:t>Runbooks pour les webhooks retardés, les pannes fournisseur, les captures/remboursements partiels, les événements en double et les ruptures de rapprochement.</w:t>
      </w:r>
    </w:p>
    <w:p>
      <w:pPr>
        <w:pStyle w:val="Heading1"/>
      </w:pPr>
      <w:r>
        <w:rPr>
          <w:lang w:val="fr-FR" w:eastAsia="fr-FR" w:bidi="fr-FR"/>
        </w:rPr>
        <w:t>11. Notifications, temps réel et travaux planifiés</w:t>
      </w:r>
    </w:p>
    <w:p>
      <w:pPr>
        <w:pStyle w:val="Heading2"/>
      </w:pPr>
      <w:r>
        <w:rPr>
          <w:lang w:val="fr-FR" w:eastAsia="fr-FR" w:bidi="fr-FR"/>
        </w:rPr>
        <w:t>Conception durable des notifications</w:t>
      </w:r>
    </w:p>
    <w:p>
      <w:pPr>
        <w:keepLines w:val="0"/>
      </w:pPr>
      <w:r>
        <w:rPr>
          <w:rFonts w:ascii="Calibri" w:hAnsi="Calibri" w:cs="Calibri"/>
          <w:b w:val="0"/>
          <w:i w:val="0"/>
          <w:lang w:val="fr-FR" w:eastAsia="fr-FR" w:bidi="fr-FR"/>
        </w:rPr>
        <w:t>La conception récente des notifications est structurellement solide : NotificationEvent enregistre l'intention ; NotificationRecipient cible les utilisateurs ; NotificationDelivery suit la livraison par canal ; NotificationOutbox représente le travail d'envoi ; les modèles et préférences contrôlent le contenu et le consentement. Le service de création écrit les enregistrements d'événement, de livraison et d'outbox dans une transaction.</w:t>
      </w:r>
    </w:p>
    <w:p>
      <w:pPr>
        <w:keepLines/>
        <w:spacing w:before="100" w:after="200"/>
        <w:ind w:left="173" w:right="115"/>
        <w:shd w:fill="FDECEC"/>
        <w:pBdr>
          <w:left w:val="single" w:sz="20" w:space="8" w:color="9B1C1C"/>
        </w:pBdr>
      </w:pPr>
      <w:r>
        <w:rPr>
          <w:rFonts w:ascii="Calibri" w:hAnsi="Calibri" w:cs="Calibri"/>
          <w:b/>
          <w:color w:val="9B1C1C"/>
          <w:lang w:val="fr-FR" w:eastAsia="fr-FR" w:bidi="fr-FR"/>
        </w:rPr>
        <w:t xml:space="preserve">Lacune critique de finalisation  </w:t>
      </w:r>
      <w:r>
        <w:rPr>
          <w:rFonts w:ascii="Calibri" w:hAnsi="Calibri" w:cs="Calibri"/>
          <w:color w:val="101828"/>
          <w:lang w:val="fr-FR" w:eastAsia="fr-FR" w:bidi="fr-FR"/>
        </w:rPr>
        <w:t>Aucun worker ni dispatcher consommant les enregistrements NotificationOutbox et faisant progresser la livraison fournisseur n'a été trouvé. La base peut enregistrer qu'une notification doit être envoyée alors que la livraison par e-mail, fournisseur ou temps réel n'a jamais lieu.</w:t>
      </w:r>
    </w:p>
    <w:p>
      <w:pPr>
        <w:pStyle w:val="Heading2"/>
      </w:pPr>
      <w:r>
        <w:rPr>
          <w:lang w:val="fr-FR" w:eastAsia="fr-FR" w:bidi="fr-FR"/>
        </w:rPr>
        <w:t>Comportement actuel des canaux</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500"/>
        <w:gridCol w:w="4400"/>
        <w:gridCol w:w="34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Canal</w:t>
            </w:r>
          </w:p>
        </w:tc>
        <w:tc>
          <w:tcPr>
            <w:tcW w:type="dxa" w:w="44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Implémentation observée</w:t>
            </w:r>
          </w:p>
        </w:tc>
        <w:tc>
          <w:tcPr>
            <w:tcW w:type="dxa" w:w="34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Préparation</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Dans l'application</w:t>
            </w:r>
          </w:p>
        </w:tc>
        <w:tc>
          <w:tcPr>
            <w:tcW w:type="dxa" w:w="44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Enregistrements de notifications interrogés via l'API ; état lu/non lu</w:t>
            </w:r>
          </w:p>
        </w:tc>
        <w:tc>
          <w:tcPr>
            <w:tcW w:type="dxa" w:w="3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Base fonctionnelle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Temps réel</w:t>
            </w:r>
          </w:p>
        </w:tc>
        <w:tc>
          <w:tcPr>
            <w:tcW w:type="dxa" w:w="44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Salons Socket.IO user:&lt;id&gt; ; abonnement au motif Redis notifications:*</w:t>
            </w:r>
          </w:p>
        </w:tc>
        <w:tc>
          <w:tcPr>
            <w:tcW w:type="dxa" w:w="3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L'abonné existe ; le chemin de publication depuis l'outbox n'a pas été trouvé</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E-mail</w:t>
            </w:r>
          </w:p>
        </w:tc>
        <w:tc>
          <w:tcPr>
            <w:tcW w:type="dxa" w:w="44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Resend principal avec repli SMTP dans l'assistant transactionnel direct</w:t>
            </w:r>
          </w:p>
        </w:tc>
        <w:tc>
          <w:tcPr>
            <w:tcW w:type="dxa" w:w="3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 parcours direct existe ; intégration de l'outbox incomplète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SMS / messagerie</w:t>
            </w:r>
          </w:p>
        </w:tc>
        <w:tc>
          <w:tcPr>
            <w:tcW w:type="dxa" w:w="44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dépendances Twilio et Firebase figurent dans les manifestes</w:t>
            </w:r>
          </w:p>
        </w:tc>
        <w:tc>
          <w:tcPr>
            <w:tcW w:type="dxa" w:w="3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 parcours de livraison de production examiné ; ne pas l'affirmer</w:t>
            </w:r>
          </w:p>
        </w:tc>
      </w:tr>
    </w:tbl>
    <w:p>
      <w:pPr>
        <w:spacing w:after="20"/>
      </w:pPr>
    </w:p>
    <w:p>
      <w:pPr>
        <w:pStyle w:val="Heading2"/>
      </w:pPr>
      <w:r>
        <w:rPr>
          <w:lang w:val="fr-FR" w:eastAsia="fr-FR" w:bidi="fr-FR"/>
        </w:rPr>
        <w:t>Modèle temps réel</w:t>
      </w:r>
    </w:p>
    <w:p>
      <w:pPr>
        <w:keepLines w:val="0"/>
      </w:pPr>
      <w:r>
        <w:rPr>
          <w:rFonts w:ascii="Calibri" w:hAnsi="Calibri" w:cs="Calibri"/>
          <w:b w:val="0"/>
          <w:i w:val="0"/>
          <w:lang w:val="fr-FR" w:eastAsia="fr-FR" w:bidi="fr-FR"/>
        </w:rPr>
        <w:t>Socket.IO accepte un jeton issu d'un cookie ou de l'authentification de handshake. Les connexions authentifiées rejoignent des salons propres aux utilisateurs. Les connexions non authentifiées peuvent établir une socket, mais ne rejoignent pas les salons privilégiés. L'API s'abonne aux motifs de notifications Redis et émet vers les salons utilisateurs correspondants. La frontière d'autorisation est donc l'affectation aux salons, qui doit être continuellement testée et instrumentée.</w:t>
      </w:r>
    </w:p>
    <w:p>
      <w:pPr>
        <w:pStyle w:val="Heading2"/>
      </w:pPr>
      <w:r>
        <w:rPr>
          <w:lang w:val="fr-FR" w:eastAsia="fr-FR" w:bidi="fr-FR"/>
        </w:rPr>
        <w:t>Travaux planifiés</w:t>
      </w:r>
    </w:p>
    <w:p>
      <w:pPr>
        <w:keepLines w:val="0"/>
      </w:pPr>
      <w:r>
        <w:rPr>
          <w:rFonts w:ascii="Calibri" w:hAnsi="Calibri" w:cs="Calibri"/>
          <w:b w:val="0"/>
          <w:i w:val="0"/>
          <w:lang w:val="fr-FR" w:eastAsia="fr-FR" w:bidi="fr-FR"/>
        </w:rPr>
        <w:t>Les planifications node-cron s'exécutent dans le processus API pour l'expiration quotidienne des permis, les changements horaires d'état des abonnements, les rappels d'essai et les travaux quotidiens de maintenance. C'est acceptable pour un processus unique en développement, mais dangereux comme stratégie de coordination en production, car chaque réplique démarre les mêmes minuteries.</w:t>
      </w:r>
    </w:p>
    <w:p>
      <w:pPr>
        <w:keepLines/>
        <w:numPr>
          <w:ilvl w:val="0"/>
          <w:numId w:val="10"/>
        </w:numPr>
        <w:spacing w:after="160" w:line="280" w:lineRule="auto"/>
      </w:pPr>
      <w:r>
        <w:rPr>
          <w:rFonts w:ascii="Calibri" w:hAnsi="Calibri" w:cs="Calibri"/>
          <w:lang w:val="fr-FR" w:eastAsia="fr-FR" w:bidi="fr-FR"/>
        </w:rPr>
        <w:t>Déplacer les commandes planifiées vers une file durable ou un worker unique planifié de l'extérieur.</w:t>
      </w:r>
    </w:p>
    <w:p>
      <w:pPr>
        <w:keepLines/>
        <w:numPr>
          <w:ilvl w:val="0"/>
          <w:numId w:val="10"/>
        </w:numPr>
        <w:spacing w:after="160" w:line="280" w:lineRule="auto"/>
      </w:pPr>
      <w:r>
        <w:rPr>
          <w:rFonts w:ascii="Calibri" w:hAnsi="Calibri" w:cs="Calibri"/>
          <w:lang w:val="fr-FR" w:eastAsia="fr-FR" w:bidi="fr-FR"/>
        </w:rPr>
        <w:t>Attribuer à chaque tâche une clé d'idempotence déterministe et une transition d'état vérifiée en base.</w:t>
      </w:r>
    </w:p>
    <w:p>
      <w:pPr>
        <w:keepLines/>
        <w:numPr>
          <w:ilvl w:val="0"/>
          <w:numId w:val="10"/>
        </w:numPr>
        <w:spacing w:after="160" w:line="280" w:lineRule="auto"/>
      </w:pPr>
      <w:r>
        <w:rPr>
          <w:rFonts w:ascii="Calibri" w:hAnsi="Calibri" w:cs="Calibri"/>
          <w:lang w:val="fr-FR" w:eastAsia="fr-FR" w:bidi="fr-FR"/>
        </w:rPr>
        <w:t>Enregistrer les tentatives, la durée, le résultat, le nombre de reprises et le motif de lettre morte ; exposer les métriques de retard et d'échec.</w:t>
      </w:r>
    </w:p>
    <w:p>
      <w:pPr>
        <w:keepLines/>
        <w:numPr>
          <w:ilvl w:val="0"/>
          <w:numId w:val="10"/>
        </w:numPr>
        <w:spacing w:after="160" w:line="280" w:lineRule="auto"/>
      </w:pPr>
      <w:r>
        <w:rPr>
          <w:rFonts w:ascii="Calibri" w:hAnsi="Calibri" w:cs="Calibri"/>
          <w:lang w:val="fr-FR" w:eastAsia="fr-FR" w:bidi="fr-FR"/>
        </w:rPr>
        <w:t>Séparer les workers de livraison de la latence des requêtes API et les dimensionner selon la profondeur de la file.</w:t>
      </w:r>
    </w:p>
    <w:p>
      <w:pPr>
        <w:pStyle w:val="Heading1"/>
      </w:pPr>
      <w:r>
        <w:rPr>
          <w:lang w:val="fr-FR" w:eastAsia="fr-FR" w:bidi="fr-FR"/>
        </w:rPr>
        <w:t>12. Sécurité et confidentialité</w:t>
      </w:r>
    </w:p>
    <w:p>
      <w:pPr>
        <w:pStyle w:val="Heading2"/>
      </w:pPr>
      <w:r>
        <w:rPr>
          <w:lang w:val="fr-FR" w:eastAsia="fr-FR" w:bidi="fr-FR"/>
        </w:rPr>
        <w:t>Contrôles de sécurité démontrés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7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Couche</w:t>
            </w:r>
          </w:p>
        </w:tc>
        <w:tc>
          <w:tcPr>
            <w:tcW w:type="dxa" w:w="76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Contrôles observés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Périmètre de requête</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Nettoyage des en-têtes transférés, ID de requête, rejet x-middleware-subrequest, CORS, contrôles d'origine CSRF, Helmet/CSP, limitation de débit.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Identité</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Émetteur/audience JWT, secret obligatoire, cookies HttpOnly/Secure, bcrypt coût 12, 2FA, codes de récupération, jetons API/public/e-mail hachés.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Autorisation</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Middleware propre aux acteurs, rechargement du tenant, listes d'autorisation de rôles admin, contrôles de rang employé, barrières d'accès abonnement.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Entrées/données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Validation Zod, erreurs centralisées, dépôts Prisma, prédicats de tenant, services transactionnels.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Fichiers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Séparation public/privé, défense contre la traversée de chemins, validation taille/type/octets magiques/dimensions d'image, exigences de racine de production.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Corps bruts de webhooks, signatures/HMAC fournisseur, persistance des événements, hachage du payload, gestion des doublons/expirations.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Documentation</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Swagger est désactivé en production sauf activation explicite.</w:t>
            </w:r>
          </w:p>
        </w:tc>
      </w:tr>
    </w:tbl>
    <w:p>
      <w:pPr>
        <w:spacing w:after="20"/>
      </w:pPr>
    </w:p>
    <w:p>
      <w:pPr>
        <w:pStyle w:val="Heading2"/>
      </w:pPr>
      <w:r>
        <w:rPr>
          <w:lang w:val="fr-FR" w:eastAsia="fr-FR" w:bidi="fr-FR"/>
        </w:rPr>
        <w:t>État des dépendances</w:t>
      </w:r>
    </w:p>
    <w:p>
      <w:pPr>
        <w:keepLines w:val="0"/>
      </w:pPr>
      <w:r>
        <w:rPr>
          <w:rFonts w:ascii="Calibri" w:hAnsi="Calibri" w:cs="Calibri"/>
          <w:b w:val="0"/>
          <w:i w:val="0"/>
          <w:lang w:val="fr-FR" w:eastAsia="fr-FR" w:bidi="fr-FR"/>
        </w:rPr>
        <w:t>Un audit des dépendances de production réalisé le 9 août 2026 a recensé 530 packages de production et 21 vulnérabilités connues : 1 critique, 14 élevées, 5 modérées et 1 faible. Les familles de packages directement vulnérables incluaient firebase-admin, morgan, Next.js, postcss et sharp ; le chemin critique protobufjs était transitif via firebase-admin. La liste exacte des avis évoluera, mais le résultat actuel bloque toute livraison tant qu'il n'a pas été qualifié et corrigé.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900"/>
        <w:gridCol w:w="67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Sévérité</w:t>
            </w:r>
          </w:p>
        </w:tc>
        <w:tc>
          <w:tcPr>
            <w:tcW w:type="dxa" w:w="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Nombre</w:t>
            </w:r>
          </w:p>
        </w:tc>
        <w:tc>
          <w:tcPr>
            <w:tcW w:type="dxa" w:w="67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Traitement requis</w:t>
            </w:r>
          </w:p>
        </w:tc>
      </w:tr>
      <w:tr>
        <w:trPr>
          <w:cantSplit/>
        </w:trPr>
        <w:tc>
          <w:tcPr>
            <w:tcW w:type="dxa" w:w="17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Critique</w:t>
            </w:r>
          </w:p>
        </w:tc>
        <w:tc>
          <w:tcPr>
            <w:tcW w:type="dxa" w:w="9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c>
          <w:tcPr>
            <w:tcW w:type="dxa" w:w="676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Supprimer/mettre à niveau la dépendance affectée et vérifier l'exploitabilité avant toute livraison en production.</w:t>
            </w:r>
          </w:p>
        </w:tc>
      </w:tr>
      <w:tr>
        <w:trPr>
          <w:cantSplit/>
        </w:trPr>
        <w:tc>
          <w:tcPr>
            <w:tcW w:type="dxa" w:w="17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Élevée</w:t>
            </w:r>
          </w:p>
        </w:tc>
        <w:tc>
          <w:tcPr>
            <w:tcW w:type="dxa" w:w="9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14</w:t>
            </w:r>
          </w:p>
        </w:tc>
        <w:tc>
          <w:tcPr>
            <w:tcW w:type="dxa" w:w="676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Corriger ou documenter un contrôle compensatoire avec acceptation du risque et échéance.</w:t>
            </w:r>
          </w:p>
        </w:tc>
      </w:tr>
      <w:tr>
        <w:trPr>
          <w:cantSplit/>
        </w:trPr>
        <w:tc>
          <w:tcPr>
            <w:tcW w:type="dxa" w:w="17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Modérée</w:t>
            </w:r>
          </w:p>
        </w:tc>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w:t>
            </w:r>
          </w:p>
        </w:tc>
        <w:tc>
          <w:tcPr>
            <w:tcW w:type="dxa" w:w="67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Corriger durant le sprint de durcissement ; réduire la surface des dépendances inutilisées.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Faible</w:t>
            </w:r>
          </w:p>
        </w:tc>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Suivre et mettre à jour dans le cadre de la maintenance courante des dépendances.</w:t>
            </w:r>
          </w:p>
        </w:tc>
      </w:tr>
    </w:tbl>
    <w:p>
      <w:pPr>
        <w:spacing w:after="20"/>
      </w:pPr>
    </w:p>
    <w:p>
      <w:pPr>
        <w:pStyle w:val="Heading2"/>
      </w:pPr>
      <w:r>
        <w:rPr>
          <w:lang w:val="fr-FR" w:eastAsia="fr-FR" w:bidi="fr-FR"/>
        </w:rPr>
        <w:t>Exposition des données personnelles</w:t>
      </w:r>
    </w:p>
    <w:p>
      <w:pPr>
        <w:keepLines w:val="0"/>
      </w:pPr>
      <w:r>
        <w:rPr>
          <w:rFonts w:ascii="Calibri" w:hAnsi="Calibri" w:cs="Calibri"/>
          <w:b w:val="0"/>
          <w:i w:val="0"/>
          <w:lang w:val="fr-FR" w:eastAsia="fr-FR" w:bidi="fr-FR"/>
        </w:rPr>
        <w:t>Le domaine peut stocker des preuves identitaires et opérationnelles, notamment noms, coordonnées, dates de naissance, nationalités, adresses, données/images de permis de conduire, informations sur les conducteurs supplémentaires, contrats, photos de réservation, assurances, constats de dommages et réclamations. Le package examiné ne démontre ni chiffrement au niveau des champs, ni clés gérées par KMS, ni automatisation formelle de conservation/suppression, ni workflow de demandes des personnes concernées, ni registre des bases légales, ni inventaire des sous-traitants, ni procédures de réponse aux violations.</w:t>
      </w:r>
    </w:p>
    <w:p>
      <w:pPr>
        <w:pStyle w:val="Heading2"/>
      </w:pPr>
      <w:r>
        <w:rPr>
          <w:lang w:val="fr-FR" w:eastAsia="fr-FR" w:bidi="fr-FR"/>
        </w:rPr>
        <w:t>Priorités de sécurité</w:t>
      </w:r>
    </w:p>
    <w:p>
      <w:pPr>
        <w:keepLines/>
        <w:numPr>
          <w:ilvl w:val="0"/>
          <w:numId w:val="10"/>
        </w:numPr>
        <w:spacing w:after="160" w:line="280" w:lineRule="auto"/>
      </w:pPr>
      <w:r>
        <w:rPr>
          <w:rFonts w:ascii="Calibri" w:hAnsi="Calibri" w:cs="Calibri"/>
          <w:b/>
          <w:color w:val="0B2545"/>
          <w:lang w:val="fr-FR" w:eastAsia="fr-FR" w:bidi="fr-FR"/>
        </w:rPr>
        <w:t>Réduire l'exposition :</w:t>
      </w:r>
      <w:r>
        <w:rPr>
          <w:rFonts w:ascii="Calibri" w:hAnsi="Calibri" w:cs="Calibri"/>
          <w:lang w:val="fr-FR" w:eastAsia="fr-FR" w:bidi="fr-FR"/>
        </w:rPr>
        <w:t xml:space="preserve"> Corriger les dépendances vulnérables et inutilisées ; supprimer les artefacts .env/build inclus ; renouveler tout secret susceptible d'avoir été archivé.</w:t>
      </w:r>
    </w:p>
    <w:p>
      <w:pPr>
        <w:keepLines/>
        <w:numPr>
          <w:ilvl w:val="0"/>
          <w:numId w:val="10"/>
        </w:numPr>
        <w:spacing w:after="160" w:line="280" w:lineRule="auto"/>
      </w:pPr>
      <w:r>
        <w:rPr>
          <w:rFonts w:ascii="Calibri" w:hAnsi="Calibri" w:cs="Calibri"/>
          <w:b/>
          <w:color w:val="0B2545"/>
          <w:lang w:val="fr-FR" w:eastAsia="fr-FR" w:bidi="fr-FR"/>
        </w:rPr>
        <w:t>Prouver l'isolation :</w:t>
      </w:r>
      <w:r>
        <w:rPr>
          <w:rFonts w:ascii="Calibri" w:hAnsi="Calibri" w:cs="Calibri"/>
          <w:lang w:val="fr-FR" w:eastAsia="fr-FR" w:bidi="fr-FR"/>
        </w:rPr>
        <w:t xml:space="preserve"> Ajouter des tests négatifs automatisés inter-tenants pour chaque famille de dépôts/routes ; évaluer la sécurité au niveau des lignes PostgreSQL comme défense en profondeur.</w:t>
      </w:r>
    </w:p>
    <w:p>
      <w:pPr>
        <w:keepLines/>
        <w:numPr>
          <w:ilvl w:val="0"/>
          <w:numId w:val="10"/>
        </w:numPr>
        <w:spacing w:after="160" w:line="280" w:lineRule="auto"/>
      </w:pPr>
      <w:r>
        <w:rPr>
          <w:rFonts w:ascii="Calibri" w:hAnsi="Calibri" w:cs="Calibri"/>
          <w:b/>
          <w:color w:val="0B2545"/>
          <w:lang w:val="fr-FR" w:eastAsia="fr-FR" w:bidi="fr-FR"/>
        </w:rPr>
        <w:t>Protéger les données sensibles :</w:t>
      </w:r>
      <w:r>
        <w:rPr>
          <w:rFonts w:ascii="Calibri" w:hAnsi="Calibri" w:cs="Calibri"/>
          <w:lang w:val="fr-FR" w:eastAsia="fr-FR" w:bidi="fr-FR"/>
        </w:rPr>
        <w:t xml:space="preserve"> Classifier les champs/fichiers, chiffrer les données à haut risque, restreindre le déchiffrement, définir la conservation et journaliser les lectures/exports privilégiés.</w:t>
      </w:r>
    </w:p>
    <w:p>
      <w:pPr>
        <w:keepLines/>
        <w:numPr>
          <w:ilvl w:val="0"/>
          <w:numId w:val="10"/>
        </w:numPr>
        <w:spacing w:after="160" w:line="280" w:lineRule="auto"/>
      </w:pPr>
      <w:r>
        <w:rPr>
          <w:rFonts w:ascii="Calibri" w:hAnsi="Calibri" w:cs="Calibri"/>
          <w:b/>
          <w:color w:val="0B2545"/>
          <w:lang w:val="fr-FR" w:eastAsia="fr-FR" w:bidi="fr-FR"/>
        </w:rPr>
        <w:t>Centraliser les secrets :</w:t>
      </w:r>
      <w:r>
        <w:rPr>
          <w:rFonts w:ascii="Calibri" w:hAnsi="Calibri" w:cs="Calibri"/>
          <w:lang w:val="fr-FR" w:eastAsia="fr-FR" w:bidi="fr-FR"/>
        </w:rPr>
        <w:t xml:space="preserve"> Utiliser un service géré de secrets, documenter la propriété des clés, organiser une rotation par étapes et valider au démarrage sans journaliser les valeurs.</w:t>
      </w:r>
    </w:p>
    <w:p>
      <w:pPr>
        <w:keepLines/>
        <w:numPr>
          <w:ilvl w:val="0"/>
          <w:numId w:val="10"/>
        </w:numPr>
        <w:spacing w:after="160" w:line="280" w:lineRule="auto"/>
      </w:pPr>
      <w:r>
        <w:rPr>
          <w:rFonts w:ascii="Calibri" w:hAnsi="Calibri" w:cs="Calibri"/>
          <w:b/>
          <w:color w:val="0B2545"/>
          <w:lang w:val="fr-FR" w:eastAsia="fr-FR" w:bidi="fr-FR"/>
        </w:rPr>
        <w:t>Étendre l'audit :</w:t>
      </w:r>
      <w:r>
        <w:rPr>
          <w:rFonts w:ascii="Calibri" w:hAnsi="Calibri" w:cs="Calibri"/>
          <w:lang w:val="fr-FR" w:eastAsia="fr-FR" w:bidi="fr-FR"/>
        </w:rPr>
        <w:t xml:space="preserve"> Couvrir chaque mutation sensible, remboursement, changement de rôle, export de données, usurpation par le support et modification de configuration par un contexte immuable.</w:t>
      </w:r>
    </w:p>
    <w:p>
      <w:pPr>
        <w:keepLines/>
        <w:numPr>
          <w:ilvl w:val="0"/>
          <w:numId w:val="10"/>
        </w:numPr>
        <w:spacing w:after="160" w:line="280" w:lineRule="auto"/>
      </w:pPr>
      <w:r>
        <w:rPr>
          <w:rFonts w:ascii="Calibri" w:hAnsi="Calibri" w:cs="Calibri"/>
          <w:b/>
          <w:color w:val="0B2545"/>
          <w:lang w:val="fr-FR" w:eastAsia="fr-FR" w:bidi="fr-FR"/>
        </w:rPr>
        <w:t>Valider de manière externe :</w:t>
      </w:r>
      <w:r>
        <w:rPr>
          <w:rFonts w:ascii="Calibri" w:hAnsi="Calibri" w:cs="Calibri"/>
          <w:lang w:val="fr-FR" w:eastAsia="fr-FR" w:bidi="fr-FR"/>
        </w:rPr>
        <w:t xml:space="preserve"> Réaliser une modélisation des menaces, des analyses SAST/SCA/secrets/IaC/conteneurs et un test d'intrusion indépendant après restauration de l'enveloppe de déploiement.</w:t>
      </w:r>
    </w:p>
    <w:p>
      <w:pPr>
        <w:pStyle w:val="Heading1"/>
      </w:pPr>
      <w:r>
        <w:rPr>
          <w:lang w:val="fr-FR" w:eastAsia="fr-FR" w:bidi="fr-FR"/>
        </w:rPr>
        <w:t>13. Déploiement, opérations et évolutivité</w:t>
      </w:r>
    </w:p>
    <w:p>
      <w:pPr>
        <w:pStyle w:val="Heading2"/>
      </w:pPr>
      <w:r>
        <w:rPr>
          <w:lang w:val="fr-FR" w:eastAsia="fr-FR" w:bidi="fr-FR"/>
        </w:rPr>
        <w:t>Intention de déploiement face aux preuves</w:t>
      </w:r>
    </w:p>
    <w:p>
      <w:pPr>
        <w:keepLines w:val="0"/>
      </w:pPr>
      <w:r>
        <w:rPr>
          <w:rFonts w:ascii="Calibri" w:hAnsi="Calibri" w:cs="Calibri"/>
          <w:b w:val="0"/>
          <w:i w:val="0"/>
          <w:lang w:val="fr-FR" w:eastAsia="fr-FR" w:bidi="fr-FR"/>
        </w:rPr>
        <w:t>Les scripts racine suggèrent un déploiement Docker Compose avec des front-ends exécutables séparément, une API, PostgreSQL, Redis, des outils de registre/gestion et des commandes de sauvegarde/restauration. Aucun des fichiers Compose ou scripts référencés n'était présent. La topologie d'exécution présentée dans ce rapport est donc une architecture logique, et non un déploiement de production vérifié.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600"/>
        <w:gridCol w:w="3530"/>
        <w:gridCol w:w="423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Capacité</w:t>
            </w:r>
          </w:p>
        </w:tc>
        <w:tc>
          <w:tcPr>
            <w:tcW w:type="dxa" w:w="35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Preuve actuelle</w:t>
            </w:r>
          </w:p>
        </w:tc>
        <w:tc>
          <w:tcPr>
            <w:tcW w:type="dxa" w:w="423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Exigence de production</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Build/livraison</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Workspaces npm et scripts Turbo ; configurations requises absentes</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Runner propre, chaîne d'outils figée, SBOM, images immuables signées, provenance/attestation.</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Migration de base de données</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Migrations Prisma et référence au script de déploiement</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Pré-vérification, séquence rétrocompatible, verrouillage, plan rollback/roll-forward, jalon de sauvegarde.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Santé</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/health renvoie ok</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Séparer vivacité/préparation ; vérifier la base, Redis, le stockage, les migrations et la configuration critique.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Arrêt</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 parcours d'arrêt gracieux démontré</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Arrêter l'admission, vider les travaux HTTP/socket, fermer DB/Redis, terminer/louer les tâches, exposer l'état de terminaison.</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Observabilité</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Journalisation de type Morgan/console</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Journaux structurés, métriques, traces, tableaux de bord, alertes, ID de corrélation, masquage.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Reprise</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Noms de scripts uniquement</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Sauvegardes chiffrées, PITR, versionnage objet, restauration testée, RPO/RTO documentés.</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Déploiement progressif</w:t>
            </w:r>
          </w:p>
        </w:tc>
        <w:tc>
          <w:tcPr>
            <w:tcW w:type="dxa" w:w="35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Non démontré</w:t>
            </w:r>
          </w:p>
        </w:tc>
        <w:tc>
          <w:tcPr>
            <w:tcW w:type="dxa" w:w="423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Canari/bleu-vert, compatibilité des migrations, smoke tests automatisés, déclencheur de rollback.</w:t>
            </w:r>
          </w:p>
        </w:tc>
      </w:tr>
    </w:tbl>
    <w:p>
      <w:pPr>
        <w:spacing w:after="20"/>
      </w:pPr>
    </w:p>
    <w:p>
      <w:pPr>
        <w:pStyle w:val="Heading2"/>
      </w:pPr>
      <w:r>
        <w:rPr>
          <w:lang w:val="fr-FR" w:eastAsia="fr-FR" w:bidi="fr-FR"/>
        </w:rPr>
        <w:t>Freins à la mise à l'échelle horizontale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850"/>
        <w:gridCol w:w="3920"/>
        <w:gridCol w:w="3590"/>
      </w:tblGrid>
      <w:tr>
        <w:trPr>
          <w:tblHeader w:val="true"/>
          <w:cantSplit/>
        </w:trPr>
        <w:tc>
          <w:tcPr>
            <w:tcW w:type="dxa" w:w="18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Blocage</w:t>
            </w:r>
          </w:p>
        </w:tc>
        <w:tc>
          <w:tcPr>
            <w:tcW w:type="dxa" w:w="392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Mode de défaillance avec &gt;1 réplique API</w:t>
            </w:r>
          </w:p>
        </w:tc>
        <w:tc>
          <w:tcPr>
            <w:tcW w:type="dxa" w:w="359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Conception cible</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Limites de débit en mémoire</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Des compteurs indépendants permettent le contournement agrégé et sont réinitialisés au déploiement.</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Stockage des limites adossé à Redis avec politiques acteur/tenant/IP.</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Map d'idempotence des réservations</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commandes en double peuvent atteindre des répliques différentes ; les clés disparaissent au redémarrage.</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Registre d'idempotence en base/Redis avec rejeu de réponse.</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Cron embarqué</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Chaque réplique exécute la même planification.</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Planificateur externe + file, ou bail de leader avec tâches idempotentes.</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Fichiers locaux</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Une réplique peut ne pas voir les téléversements d'une autre ; la perte de disque menace les preuves.</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Stockage objet, accès privé signé, analyse anti-malware, politique de cycle de vie/version.</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Outbox sans worker</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Des lignes durables s'accumulent sans qu'aucune livraison n'ait lieu.</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Consommateur transactionnel d'outbox, reprises, lettres mortes, adaptateurs fournisseurs, métriques.</w:t>
            </w:r>
          </w:p>
        </w:tc>
      </w:tr>
      <w:tr>
        <w:trPr>
          <w:cantSplit/>
        </w:trPr>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Diffusion socket</w:t>
            </w:r>
          </w:p>
        </w:tc>
        <w:tc>
          <w:tcPr>
            <w:tcW w:type="dxa" w:w="392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L'abonné Redis existe, mais le parcours de publication/livraison de bout en bout est incomplet.</w:t>
            </w:r>
          </w:p>
        </w:tc>
        <w:tc>
          <w:tcPr>
            <w:tcW w:type="dxa" w:w="359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Événement outbox → Redis/file → émission Socket.IO autorisée.</w:t>
            </w:r>
          </w:p>
        </w:tc>
      </w:tr>
    </w:tbl>
    <w:p>
      <w:pPr>
        <w:spacing w:after="20"/>
      </w:pPr>
    </w:p>
    <w:p>
      <w:pPr>
        <w:pStyle w:val="Heading2"/>
      </w:pPr>
      <w:r>
        <w:rPr>
          <w:lang w:val="fr-FR" w:eastAsia="fr-FR" w:bidi="fr-FR"/>
        </w:rPr>
        <w:t>Risque du plan de contrôle des conteneurs</w:t>
      </w:r>
    </w:p>
    <w:p>
      <w:pPr>
        <w:keepLines w:val="0"/>
      </w:pPr>
      <w:r>
        <w:rPr>
          <w:rFonts w:ascii="Calibri" w:hAnsi="Calibri" w:cs="Calibri"/>
          <w:b w:val="0"/>
          <w:i w:val="0"/>
          <w:lang w:val="fr-FR" w:eastAsia="fr-FR" w:bidi="fr-FR"/>
        </w:rPr>
        <w:t>Un service tente de gérer des déploiements Docker Compose par société via l'accès à la CLI/socket Docker. Le modèle de base attendu est absent, la migration n'est qu'un placeholder SELECT 1 et aucun endpoint d'administration correspondant n'a été trouvé. Même finalisé, l'accès à la socket Docker accorde un contrôle proche de celui de l'hôte et ne doit pas résider dans une API métier générale.</w:t>
      </w:r>
    </w:p>
    <w:p>
      <w:pPr>
        <w:keepLines/>
        <w:spacing w:before="100" w:after="200"/>
        <w:ind w:left="173" w:right="115"/>
        <w:shd w:fill="FDECEC"/>
        <w:pBdr>
          <w:left w:val="single" w:sz="20" w:space="8" w:color="9B1C1C"/>
        </w:pBdr>
      </w:pPr>
      <w:r>
        <w:rPr>
          <w:rFonts w:ascii="Calibri" w:hAnsi="Calibri" w:cs="Calibri"/>
          <w:b/>
          <w:color w:val="9B1C1C"/>
          <w:lang w:val="fr-FR" w:eastAsia="fr-FR" w:bidi="fr-FR"/>
        </w:rPr>
        <w:t xml:space="preserve">Décision recommandée  </w:t>
      </w:r>
      <w:r>
        <w:rPr>
          <w:rFonts w:ascii="Calibri" w:hAnsi="Calibri" w:cs="Calibri"/>
          <w:color w:val="101828"/>
          <w:lang w:val="fr-FR" w:eastAsia="fr-FR" w:bidi="fr-FR"/>
        </w:rPr>
        <w:t>Désactiver et retirer cette fonction du périmètre de production. Si des environnements d'exécution isolés par tenant constituent une véritable exigence commerciale, construire un contrôleur de déploiement séparé et à privilèges minimaux, avec un modèle explicite de réconciliation, des modèles signés, des politiques réseau/stockage, un audit, des quotas et aucune exposition directe aux requêtes des tenants.</w:t>
      </w:r>
    </w:p>
    <w:p>
      <w:pPr>
        <w:pStyle w:val="Heading2"/>
      </w:pPr>
      <w:r>
        <w:rPr>
          <w:lang w:val="fr-FR" w:eastAsia="fr-FR" w:bidi="fr-FR"/>
        </w:rPr>
        <w:t>Stratégie de performance</w:t>
      </w:r>
    </w:p>
    <w:p>
      <w:pPr>
        <w:keepLines/>
        <w:numPr>
          <w:ilvl w:val="0"/>
          <w:numId w:val="10"/>
        </w:numPr>
        <w:spacing w:after="160" w:line="280" w:lineRule="auto"/>
      </w:pPr>
      <w:r>
        <w:rPr>
          <w:rFonts w:ascii="Calibri" w:hAnsi="Calibri" w:cs="Calibri"/>
          <w:lang w:val="fr-FR" w:eastAsia="fr-FR" w:bidi="fr-FR"/>
        </w:rPr>
        <w:t>Mesurer avant de découper : latence des requêtes par route, nombre/durée des requêtes Prisma, contention sur les verrous, taux de succès du cache, retard des tâches, connexions socket et latence des fournisseurs.</w:t>
      </w:r>
    </w:p>
    <w:p>
      <w:pPr>
        <w:keepLines/>
        <w:numPr>
          <w:ilvl w:val="0"/>
          <w:numId w:val="10"/>
        </w:numPr>
        <w:spacing w:after="160" w:line="280" w:lineRule="auto"/>
      </w:pPr>
      <w:r>
        <w:rPr>
          <w:rFonts w:ascii="Calibri" w:hAnsi="Calibri" w:cs="Calibri"/>
          <w:lang w:val="fr-FR" w:eastAsia="fr-FR" w:bidi="fr-FR"/>
        </w:rPr>
        <w:t>Définir des objectifs de niveau de service pour la recherche, le devis, la création de réservation, la confirmation de paiement, les lectures du tableau de bord et la livraison des notifications.</w:t>
      </w:r>
    </w:p>
    <w:p>
      <w:pPr>
        <w:keepLines/>
        <w:numPr>
          <w:ilvl w:val="0"/>
          <w:numId w:val="10"/>
        </w:numPr>
        <w:spacing w:after="160" w:line="280" w:lineRule="auto"/>
      </w:pPr>
      <w:r>
        <w:rPr>
          <w:rFonts w:ascii="Calibri" w:hAnsi="Calibri" w:cs="Calibri"/>
          <w:lang w:val="fr-FR" w:eastAsia="fr-FR" w:bidi="fr-FR"/>
        </w:rPr>
        <w:t>Utiliser des plans de requêtes et des index composés tenant/statut/date pour les calendriers de flotte, listes de réservations, notifications, facturation et recherche.</w:t>
      </w:r>
    </w:p>
    <w:p>
      <w:pPr>
        <w:keepLines/>
        <w:numPr>
          <w:ilvl w:val="0"/>
          <w:numId w:val="10"/>
        </w:numPr>
        <w:spacing w:after="160" w:line="280" w:lineRule="auto"/>
      </w:pPr>
      <w:r>
        <w:rPr>
          <w:rFonts w:ascii="Calibri" w:hAnsi="Calibri" w:cs="Calibri"/>
          <w:lang w:val="fr-FR" w:eastAsia="fr-FR" w:bidi="fr-FR"/>
        </w:rPr>
        <w:t>Tester la charge avec une distribution réaliste des tenants : quelques grandes flottes, de nombreux petits tenants, recherches concurrentes par plage de dates, rafales de webhooks et téléversements de photos/documents.</w:t>
      </w:r>
    </w:p>
    <w:p>
      <w:pPr>
        <w:keepLines/>
        <w:numPr>
          <w:ilvl w:val="0"/>
          <w:numId w:val="10"/>
        </w:numPr>
        <w:spacing w:after="160" w:line="280" w:lineRule="auto"/>
      </w:pPr>
      <w:r>
        <w:rPr>
          <w:rFonts w:ascii="Calibri" w:hAnsi="Calibri" w:cs="Calibri"/>
          <w:lang w:val="fr-FR" w:eastAsia="fr-FR" w:bidi="fr-FR"/>
        </w:rPr>
        <w:t>N'extraire des services que lorsqu'un profil de charge évolutif indépendamment, une frontière de conformité, un domaine de défaillance ou une responsabilité d'équipe justifie le coût.</w:t>
      </w:r>
    </w:p>
    <w:p>
      <w:pPr>
        <w:pStyle w:val="Heading1"/>
      </w:pPr>
      <w:r>
        <w:rPr>
          <w:lang w:val="fr-FR" w:eastAsia="fr-FR" w:bidi="fr-FR"/>
        </w:rPr>
        <w:t>14. Ingénierie qualité et maintenabilité</w:t>
      </w:r>
    </w:p>
    <w:p>
      <w:pPr>
        <w:pStyle w:val="Heading2"/>
      </w:pPr>
      <w:r>
        <w:rPr>
          <w:lang w:val="fr-FR" w:eastAsia="fr-FR" w:bidi="fr-FR"/>
        </w:rPr>
        <w:t>Investissement dans les tests</w:t>
      </w:r>
    </w:p>
    <w:p>
      <w:pPr>
        <w:keepLines w:val="0"/>
      </w:pPr>
      <w:r>
        <w:rPr>
          <w:rFonts w:ascii="Calibri" w:hAnsi="Calibri" w:cs="Calibri"/>
          <w:b w:val="0"/>
          <w:i w:val="0"/>
          <w:lang w:val="fr-FR" w:eastAsia="fr-FR" w:bidi="fr-FR"/>
        </w:rPr>
        <w:t>Les sources contiennent 266 fichiers de tests et environ 22 716 lignes de code de test. L'API domine avec 185 fichiers ; les front-ends en totalisent 81. C'est une preuve significative d'intention d'ingénierie et de validation métier. Toutefois, l'intention ne vaut pas un jalon de livraison vert et reproductible.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600"/>
        <w:gridCol w:w="1000"/>
        <w:gridCol w:w="676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Zone</w:t>
            </w:r>
          </w:p>
        </w:tc>
        <w:tc>
          <w:tcPr>
            <w:tcW w:type="dxa" w:w="10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Fichiers de tests</w:t>
            </w:r>
          </w:p>
        </w:tc>
        <w:tc>
          <w:tcPr>
            <w:tcW w:type="dxa" w:w="67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Résultat de l'exécution contrôlée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API</w:t>
            </w:r>
          </w:p>
        </w:tc>
        <w:tc>
          <w:tcPr>
            <w:tcW w:type="dxa" w:w="1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185</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Non exécuté intégralement car le parcours types partagés/configuration de base est incomplet.</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Page d'accueil</w:t>
            </w:r>
          </w:p>
        </w:tc>
        <w:tc>
          <w:tcPr>
            <w:tcW w:type="dxa" w:w="1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41</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Plusieurs suites ont visiblement réussi ; le runner ne s'est pas terminé proprement. Le lint a signalé séparément 3 erreurs et 4 avertissements.</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Tableau de bord</w:t>
            </w:r>
          </w:p>
        </w:tc>
        <w:tc>
          <w:tcPr>
            <w:tcW w:type="dxa" w:w="1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21</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Plusieurs suites ont visiblement réussi ; le runner complet ne s'est pas terminé pendant l'exécution contrôlée.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Carplace</w:t>
            </w:r>
          </w:p>
        </w:tc>
        <w:tc>
          <w:tcPr>
            <w:tcW w:type="dxa" w:w="1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12</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Plusieurs suites ont visiblement réussi ; le runner complet ne s'est pas terminé pendant l'exécution contrôlée.</w:t>
            </w:r>
          </w:p>
        </w:tc>
      </w:tr>
      <w:tr>
        <w:trPr>
          <w:cantSplit/>
        </w:trPr>
        <w:tc>
          <w:tcPr>
            <w:tcW w:type="dxa" w:w="1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Administration</w:t>
            </w:r>
          </w:p>
        </w:tc>
        <w:tc>
          <w:tcPr>
            <w:tcW w:type="dxa" w:w="10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7</w:t>
            </w:r>
          </w:p>
        </w:tc>
        <w:tc>
          <w:tcPr>
            <w:tcW w:type="dxa" w:w="6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Les tests ont démarré et les cas visibles ont réussi ; l'exécution sérielle a expiré après le premier fichier.</w:t>
            </w:r>
          </w:p>
        </w:tc>
      </w:tr>
    </w:tbl>
    <w:p>
      <w:pPr>
        <w:spacing w:after="20"/>
      </w:pPr>
    </w:p>
    <w:p>
      <w:pPr>
        <w:pStyle w:val="Heading2"/>
      </w:pPr>
      <w:r>
        <w:rPr>
          <w:lang w:val="fr-FR" w:eastAsia="fr-FR" w:bidi="fr-FR"/>
        </w:rPr>
        <w:t>Cohérence de la chaîne d'outils et des dépendances</w:t>
      </w:r>
    </w:p>
    <w:p>
      <w:pPr>
        <w:keepLines w:val="0"/>
      </w:pPr>
      <w:r>
        <w:rPr>
          <w:rFonts w:ascii="Calibri" w:hAnsi="Calibri" w:cs="Calibri"/>
          <w:b w:val="0"/>
          <w:i w:val="0"/>
          <w:lang w:val="fr-FR" w:eastAsia="fr-FR" w:bidi="fr-FR"/>
        </w:rPr>
        <w:t>La commande initiale de tests front-end n'a pas pu charger le package optionnel natif de la plateforme Rollup. Son installation sans sauvegarde a permis aux suites de démarrer, mais a révélé des frictions de versions plus larges : l'environnement utilisait un runtime Node plus récent que le minimum déclaré, Vitest est en 2.1 et lucide-react déclare une plage de pairs React n'incluant pas React 19. Il ne s'agit pas nécessairement de défauts produit, mais cela montre pourquoi la CI doit figer et publier précisément la matrice prise en charge.</w:t>
      </w:r>
    </w:p>
    <w:p>
      <w:pPr>
        <w:pStyle w:val="Heading2"/>
      </w:pPr>
      <w:r>
        <w:rPr>
          <w:lang w:val="fr-FR" w:eastAsia="fr-FR" w:bidi="fr-FR"/>
        </w:rPr>
        <w:t>Forces de maintenabilité</w:t>
      </w:r>
    </w:p>
    <w:p>
      <w:pPr>
        <w:keepLines/>
        <w:numPr>
          <w:ilvl w:val="0"/>
          <w:numId w:val="10"/>
        </w:numPr>
        <w:spacing w:after="160" w:line="280" w:lineRule="auto"/>
      </w:pPr>
      <w:r>
        <w:rPr>
          <w:rFonts w:ascii="Calibri" w:hAnsi="Calibri" w:cs="Calibri"/>
          <w:lang w:val="fr-FR" w:eastAsia="fr-FR" w:bidi="fr-FR"/>
        </w:rPr>
        <w:t>Séparation claire des publics entre les applications d'accueil, tenant, administration, place de marché et API.</w:t>
      </w:r>
    </w:p>
    <w:p>
      <w:pPr>
        <w:keepLines/>
        <w:numPr>
          <w:ilvl w:val="0"/>
          <w:numId w:val="10"/>
        </w:numPr>
        <w:spacing w:after="160" w:line="280" w:lineRule="auto"/>
      </w:pPr>
      <w:r>
        <w:rPr>
          <w:rFonts w:ascii="Calibri" w:hAnsi="Calibri" w:cs="Calibri"/>
          <w:lang w:val="fr-FR" w:eastAsia="fr-FR" w:bidi="fr-FR"/>
        </w:rPr>
        <w:t>Modules API orientés domaine avec couches de validation, service et dépôt.</w:t>
      </w:r>
    </w:p>
    <w:p>
      <w:pPr>
        <w:keepLines/>
        <w:numPr>
          <w:ilvl w:val="0"/>
          <w:numId w:val="10"/>
        </w:numPr>
        <w:spacing w:after="160" w:line="280" w:lineRule="auto"/>
      </w:pPr>
      <w:r>
        <w:rPr>
          <w:rFonts w:ascii="Calibri" w:hAnsi="Calibri" w:cs="Calibri"/>
          <w:lang w:val="fr-FR" w:eastAsia="fr-FR" w:bidi="fr-FR"/>
        </w:rPr>
        <w:t>Package de types partagé et migrations de base de données substantielles.</w:t>
      </w:r>
    </w:p>
    <w:p>
      <w:pPr>
        <w:keepLines/>
        <w:numPr>
          <w:ilvl w:val="0"/>
          <w:numId w:val="10"/>
        </w:numPr>
        <w:spacing w:after="160" w:line="280" w:lineRule="auto"/>
      </w:pPr>
      <w:r>
        <w:rPr>
          <w:rFonts w:ascii="Calibri" w:hAnsi="Calibri" w:cs="Calibri"/>
          <w:lang w:val="fr-FR" w:eastAsia="fr-FR" w:bidi="fr-FR"/>
        </w:rPr>
        <w:t>Gestion centralisée des erreurs/identifiants de requête et concepts cohérents de middleware de tenant.</w:t>
      </w:r>
    </w:p>
    <w:p>
      <w:pPr>
        <w:keepLines/>
        <w:numPr>
          <w:ilvl w:val="0"/>
          <w:numId w:val="10"/>
        </w:numPr>
        <w:spacing w:after="160" w:line="280" w:lineRule="auto"/>
      </w:pPr>
      <w:r>
        <w:rPr>
          <w:rFonts w:ascii="Calibri" w:hAnsi="Calibri" w:cs="Calibri"/>
          <w:lang w:val="fr-FR" w:eastAsia="fr-FR" w:bidi="fr-FR"/>
        </w:rPr>
        <w:t>Sources de tests étendues, notamment pour les routes et middlewares pertinents en matière de sécurité.</w:t>
      </w:r>
    </w:p>
    <w:p>
      <w:pPr>
        <w:pStyle w:val="Heading2"/>
      </w:pPr>
      <w:r>
        <w:rPr>
          <w:lang w:val="fr-FR" w:eastAsia="fr-FR" w:bidi="fr-FR"/>
        </w:rPr>
        <w:t>Risques de maintenabilité</w:t>
      </w:r>
    </w:p>
    <w:p>
      <w:pPr>
        <w:keepLines/>
        <w:numPr>
          <w:ilvl w:val="0"/>
          <w:numId w:val="10"/>
        </w:numPr>
        <w:spacing w:after="160" w:line="280" w:lineRule="auto"/>
      </w:pPr>
      <w:r>
        <w:rPr>
          <w:rFonts w:ascii="Calibri" w:hAnsi="Calibri" w:cs="Calibri"/>
          <w:lang w:val="fr-FR" w:eastAsia="fr-FR" w:bidi="fr-FR"/>
        </w:rPr>
        <w:t>L'absence de configuration de build racine et de scripts rend l'interface déclarée du dépôt peu fiable.</w:t>
      </w:r>
    </w:p>
    <w:p>
      <w:pPr>
        <w:keepLines/>
        <w:numPr>
          <w:ilvl w:val="0"/>
          <w:numId w:val="10"/>
        </w:numPr>
        <w:spacing w:after="160" w:line="280" w:lineRule="auto"/>
      </w:pPr>
      <w:r>
        <w:rPr>
          <w:rFonts w:ascii="Calibri" w:hAnsi="Calibri" w:cs="Calibri"/>
          <w:lang w:val="fr-FR" w:eastAsia="fr-FR" w:bidi="fr-FR"/>
        </w:rPr>
        <w:t>OpenAPI manuel, clients front-end dupliqués, systèmes d'interface distincts et dépendances répétées favorisent la dérive.</w:t>
      </w:r>
    </w:p>
    <w:p>
      <w:pPr>
        <w:keepLines/>
        <w:numPr>
          <w:ilvl w:val="0"/>
          <w:numId w:val="10"/>
        </w:numPr>
        <w:spacing w:after="160" w:line="280" w:lineRule="auto"/>
      </w:pPr>
      <w:r>
        <w:rPr>
          <w:rFonts w:ascii="Calibri" w:hAnsi="Calibri" w:cs="Calibri"/>
          <w:lang w:val="fr-FR" w:eastAsia="fr-FR" w:bidi="fr-FR"/>
        </w:rPr>
        <w:t>De grands composants clients au niveau des pages combinent vue, réseau, état et orchestration métier.</w:t>
      </w:r>
    </w:p>
    <w:p>
      <w:pPr>
        <w:keepLines/>
        <w:numPr>
          <w:ilvl w:val="0"/>
          <w:numId w:val="10"/>
        </w:numPr>
        <w:spacing w:after="160" w:line="280" w:lineRule="auto"/>
      </w:pPr>
      <w:r>
        <w:rPr>
          <w:rFonts w:ascii="Calibri" w:hAnsi="Calibri" w:cs="Calibri"/>
          <w:lang w:val="fr-FR" w:eastAsia="fr-FR" w:bidi="fr-FR"/>
        </w:rPr>
        <w:t>Les anciens et nouveaux modèles de facturation et de notification créent plusieurs sources conceptuelles de vérité.</w:t>
      </w:r>
    </w:p>
    <w:p>
      <w:pPr>
        <w:keepLines/>
        <w:numPr>
          <w:ilvl w:val="0"/>
          <w:numId w:val="10"/>
        </w:numPr>
        <w:spacing w:after="160" w:line="280" w:lineRule="auto"/>
      </w:pPr>
      <w:r>
        <w:rPr>
          <w:rFonts w:ascii="Calibri" w:hAnsi="Calibri" w:cs="Calibri"/>
          <w:lang w:val="fr-FR" w:eastAsia="fr-FR" w:bidi="fr-FR"/>
        </w:rPr>
        <w:t>Des versions obsolètes dans les README et des fonctions fantômes dans l'interface affaiblissent la confiance dans la documentation et le périmètre de livraison.</w:t>
      </w:r>
    </w:p>
    <w:p>
      <w:pPr>
        <w:pStyle w:val="Heading2"/>
      </w:pPr>
      <w:r>
        <w:rPr>
          <w:lang w:val="fr-FR" w:eastAsia="fr-FR" w:bidi="fr-FR"/>
        </w:rPr>
        <w:t>Jalon de qualité d'ingénierie recommandé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300"/>
        <w:gridCol w:w="3960"/>
        <w:gridCol w:w="4100"/>
      </w:tblGrid>
      <w:tr>
        <w:trPr>
          <w:tblHeader w:val="true"/>
          <w:cantSplit/>
        </w:trPr>
        <w:tc>
          <w:tcPr>
            <w:tcW w:type="dxa" w:w="13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Jalon</w:t>
            </w:r>
          </w:p>
        </w:tc>
        <w:tc>
          <w:tcPr>
            <w:tcW w:type="dxa" w:w="39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Exécution</w:t>
            </w:r>
          </w:p>
        </w:tc>
        <w:tc>
          <w:tcPr>
            <w:tcW w:type="dxa" w:w="41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Critère de sortie</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Installer</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npm ci depuis un cache propre avec Node/npm figés</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Aucune modification du lock ; SBOM produit</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Générer</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Prisma + types partagés</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Aucune dérive générée non commitée</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Statique</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Formatage, lint, vérification des types, analyses secrets/SAST/SCA</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Zéro erreur ; politique de vulnérabilités appliquée</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Tester</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Unitaires, intégration, API, accessibilité navigateur</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Achèvement déterministe ; seuils de couverture et chemins critiques</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Construire</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Toutes les applications et l'API</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Artefacts immuables versionnés ; politique de taille et source maps</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Base de données</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Migration sur base vide et base de la version précédente</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Rétrocompatibilité, sauvegarde et preuves de rollback/roll-forward</w:t>
            </w:r>
          </w:p>
        </w:tc>
      </w:tr>
      <w:tr>
        <w:trPr>
          <w:cantSplit/>
        </w:trPr>
        <w:tc>
          <w:tcPr>
            <w:tcW w:type="dxa" w:w="13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Déployer</w:t>
            </w:r>
          </w:p>
        </w:tc>
        <w:tc>
          <w:tcPr>
            <w:tcW w:type="dxa" w:w="3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Smoke test en environnement éphémère</w:t>
            </w:r>
          </w:p>
        </w:tc>
        <w:tc>
          <w:tcPr>
            <w:tcW w:type="dxa" w:w="41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Santé/préparation, auth, réservation, webhook de test de paiement, accès aux documents</w:t>
            </w:r>
          </w:p>
        </w:tc>
      </w:tr>
    </w:tbl>
    <w:p>
      <w:pPr>
        <w:spacing w:after="20"/>
      </w:pPr>
    </w:p>
    <w:p>
      <w:pPr>
        <w:pStyle w:val="Heading1"/>
      </w:pPr>
      <w:r>
        <w:rPr>
          <w:lang w:val="fr-FR" w:eastAsia="fr-FR" w:bidi="fr-FR"/>
        </w:rPr>
        <w:t>15. Registre consolidé des risques</w:t>
      </w:r>
    </w:p>
    <w:p>
      <w:pPr>
        <w:keepLines w:val="0"/>
      </w:pPr>
      <w:r>
        <w:rPr>
          <w:rFonts w:ascii="Calibri" w:hAnsi="Calibri" w:cs="Calibri"/>
          <w:b w:val="0"/>
          <w:i w:val="0"/>
          <w:lang w:val="fr-FR" w:eastAsia="fr-FR" w:bidi="fr-FR"/>
        </w:rPr>
        <w:t>Les priorités combinent l'impact métier, l'exploitabilité/probabilité et la mesure dans laquelle le problème bloque une diligence indépendante. Les éléments P0 empêchent toute affirmation de préparation à la production ; les P1 empêchent un passage à l'échelle sûr ou des opérations fiables ; les P2 doivent être planifiés après l'établissement des fondations de production.</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900"/>
        <w:gridCol w:w="1850"/>
        <w:gridCol w:w="3650"/>
        <w:gridCol w:w="2960"/>
      </w:tblGrid>
      <w:tr>
        <w:trPr>
          <w:tblHeader w:val="true"/>
          <w:cantSplit/>
        </w:trPr>
        <w:tc>
          <w:tcPr>
            <w:tcW w:type="dxa" w:w="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ID</w:t>
            </w:r>
          </w:p>
        </w:tc>
        <w:tc>
          <w:tcPr>
            <w:tcW w:type="dxa" w:w="18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Risque</w:t>
            </w:r>
          </w:p>
        </w:tc>
        <w:tc>
          <w:tcPr>
            <w:tcW w:type="dxa" w:w="365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Preuve / impact</w:t>
            </w:r>
          </w:p>
        </w:tc>
        <w:tc>
          <w:tcPr>
            <w:tcW w:type="dxa" w:w="29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Action requise</w:t>
            </w:r>
          </w:p>
        </w:tc>
      </w:tr>
      <w:tr>
        <w:trPr>
          <w:cantSplit/>
        </w:trPr>
        <w:tc>
          <w:tcPr>
            <w:tcW w:type="dxa" w:w="9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 • P0</w:t>
            </w:r>
          </w:p>
        </w:tc>
        <w:tc>
          <w:tcPr>
            <w:tcW w:type="dxa" w:w="18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Package source non reproductible</w:t>
            </w:r>
          </w:p>
        </w:tc>
        <w:tc>
          <w:tcPr>
            <w:tcW w:type="dxa" w:w="36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L'absence de Turbo/base TS/scripts/Compose empêche toute preuve propre de build, test, déploiement, sauvegarde et restauration.</w:t>
            </w:r>
          </w:p>
        </w:tc>
        <w:tc>
          <w:tcPr>
            <w:tcW w:type="dxa" w:w="296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Restaurer le dépôt complet ; CI sur runner propre ; attestation de livraison signée.</w:t>
            </w:r>
          </w:p>
        </w:tc>
      </w:tr>
      <w:tr>
        <w:trPr>
          <w:cantSplit/>
        </w:trPr>
        <w:tc>
          <w:tcPr>
            <w:tcW w:type="dxa" w:w="9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R2 • P0</w:t>
            </w:r>
          </w:p>
        </w:tc>
        <w:tc>
          <w:tcPr>
            <w:tcW w:type="dxa" w:w="18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Vulnérabilités connues des dépendances</w:t>
            </w:r>
          </w:p>
        </w:tc>
        <w:tc>
          <w:tcPr>
            <w:tcW w:type="dxa" w:w="36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21 constats de production, dont 1 critique et 14 élevés, créent une exposition immédiate de sécurité et de diligence.</w:t>
            </w:r>
          </w:p>
        </w:tc>
        <w:tc>
          <w:tcPr>
            <w:tcW w:type="dxa" w:w="296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Supprimer les packages inutilisés ; mettre à niveau/corriger ; imposer la politique SCA dans la CI.</w:t>
            </w:r>
          </w:p>
        </w:tc>
      </w:tr>
      <w:tr>
        <w:trPr>
          <w:cantSplit/>
        </w:trPr>
        <w:tc>
          <w:tcPr>
            <w:tcW w:type="dxa" w:w="90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R3 • P0</w:t>
            </w:r>
          </w:p>
        </w:tc>
        <w:tc>
          <w:tcPr>
            <w:tcW w:type="dxa" w:w="18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Fonction privilégiée de conteneur défaillante</w:t>
            </w:r>
          </w:p>
        </w:tc>
        <w:tc>
          <w:tcPr>
            <w:tcW w:type="dxa" w:w="365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L'interface/le service suggèrent une gestion Docker par société, mais le modèle/les routes requis sont absents ; la socket Docker est hautement privilégiée.</w:t>
            </w:r>
          </w:p>
        </w:tc>
        <w:tc>
          <w:tcPr>
            <w:tcW w:type="dxa" w:w="2960"/>
            <w:shd w:fill="FDECEC"/>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Désactiver/supprimer ; ne reconstruire comme plan de contrôle isolé que si nécessaire.</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R4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Outbox de notifications non distribuée</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L'intention durable peut ne jamais devenir une livraison fournisseur/temps réel.</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Construire le worker, les reprises, la DLQ, l'observabilité et les adaptateurs fournisseurs.</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R5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Coordination locale au processus</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Les limites de débit et l'idempotence des réservations divergent entre les répliques et se réinitialisent au redémarrage.</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Stockages partagés Redis/base avec clés limitées et opérations atomiques.</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R6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Planifications embarquées</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Chaque réplique API peut exécuter les tâches de permis/abonnement/rappel/maintenance.</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Planificateur/file externe ou bail de leader ; commandes idempotentes.</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R7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Persistance locale des fichiers</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Incohérence entre répliques, perte de disque et faible contrôle du cycle de vie des preuves sensibles.</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Stockage objet, accès privé signé, analyse, chiffrement, conservation.</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R8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Angles morts opérationnels</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Aucune préparation, arrêt gracieux, métrique, traçage, SLO, alerte ou test de reprise vérifié.</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Instrumenter les chemins critiques et prouver les runbooks en staging.</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R9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Lacune de gouvernance des données personnelles</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Les données à haut risque d'identité/permis/contrat/dommages ne disposent pas de chiffrement ni de contrôles de cycle de vie démontrés.</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Cartographie des données, base légale, chiffrement, conservation, DSAR, audit des accès.</w:t>
            </w:r>
          </w:p>
        </w:tc>
      </w:tr>
      <w:tr>
        <w:trPr>
          <w:cantSplit/>
        </w:trPr>
        <w:tc>
          <w:tcPr>
            <w:tcW w:type="dxa" w:w="90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R10 • P1</w:t>
            </w:r>
          </w:p>
        </w:tc>
        <w:tc>
          <w:tcPr>
            <w:tcW w:type="dxa" w:w="18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Dérive des droits commerciaux</w:t>
            </w:r>
          </w:p>
        </w:tc>
        <w:tc>
          <w:tcPr>
            <w:tcW w:type="dxa" w:w="365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Le catalogue de la page d'accueil diffère du code ; les limites peuvent être déduites de libellés d'affichage.</w:t>
            </w:r>
          </w:p>
        </w:tc>
        <w:tc>
          <w:tcPr>
            <w:tcW w:type="dxa" w:w="2960"/>
            <w:shd w:fill="FFF6D8"/>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Un catalogue typé ; tests contractuels ; migrations de plans contrôlées.</w:t>
            </w:r>
          </w:p>
        </w:tc>
      </w:tr>
      <w:tr>
        <w:trPr>
          <w:cantSplit/>
        </w:trPr>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R11 • P2</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Contrat API partiel</w:t>
            </w:r>
          </w:p>
        </w:tc>
        <w:tc>
          <w:tcPr>
            <w:tcW w:type="dxa" w:w="3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OpenAPI décrit environ 59 % des gestionnaires à l'exécution ; les clients et la documentation externe peuvent dériver.</w:t>
            </w:r>
          </w:p>
        </w:tc>
        <w:tc>
          <w:tcPr>
            <w:tcW w:type="dxa" w:w="2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Routes/clients dérivés du contrat et contrôle d'exhaustivité CI.</w:t>
            </w:r>
          </w:p>
        </w:tc>
      </w:tr>
      <w:tr>
        <w:trPr>
          <w:cantSplit/>
        </w:trPr>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R12 • P2</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Chevauchement de domaines historiques</w:t>
            </w:r>
          </w:p>
        </w:tc>
        <w:tc>
          <w:tcPr>
            <w:tcW w:type="dxa" w:w="3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Deux générations de facturation et de notification compliquent la source de vérité et la conservation.</w:t>
            </w:r>
          </w:p>
        </w:tc>
        <w:tc>
          <w:tcPr>
            <w:tcW w:type="dxa" w:w="2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Publier la carte de migration ; faire converger lectures/écritures ; archiver les anciens chemins.</w:t>
            </w:r>
          </w:p>
        </w:tc>
      </w:tr>
      <w:tr>
        <w:trPr>
          <w:cantSplit/>
        </w:trPr>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R13 • P2</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Duplication front-end/système</w:t>
            </w:r>
          </w:p>
        </w:tc>
        <w:tc>
          <w:tcPr>
            <w:tcW w:type="dxa" w:w="3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Quatre applications répètent dépendances, clients, jetons et modèles opérationnels.</w:t>
            </w:r>
          </w:p>
        </w:tc>
        <w:tc>
          <w:tcPr>
            <w:tcW w:type="dxa" w:w="2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Client typé partagé et primitives de conception/accessibilité.</w:t>
            </w:r>
          </w:p>
        </w:tc>
      </w:tr>
      <w:tr>
        <w:trPr>
          <w:cantSplit/>
        </w:trPr>
        <w:tc>
          <w:tcPr>
            <w:tcW w:type="dxa" w:w="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R14 • P2</w:t>
            </w:r>
          </w:p>
        </w:tc>
        <w:tc>
          <w:tcPr>
            <w:tcW w:type="dxa" w:w="18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Instabilité des lanceurs de tests</w:t>
            </w:r>
          </w:p>
        </w:tc>
        <w:tc>
          <w:tcPr>
            <w:tcW w:type="dxa" w:w="365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Les suites démarrent et réussissent les cas visibles, mais ne se terminent pas de manière déterministe dans l'environnement de revue.</w:t>
            </w:r>
          </w:p>
        </w:tc>
        <w:tc>
          <w:tcPr>
            <w:tcW w:type="dxa" w:w="29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Figer la chaîne d'outils ; trouver les handles ouverts ; imposer une fin bornée de la CI.</w:t>
            </w:r>
          </w:p>
        </w:tc>
      </w:tr>
    </w:tbl>
    <w:p>
      <w:pPr>
        <w:spacing w:after="20"/>
      </w:pPr>
    </w:p>
    <w:p>
      <w:pPr>
        <w:pStyle w:val="Heading2"/>
      </w:pPr>
      <w:r>
        <w:rPr>
          <w:lang w:val="fr-FR" w:eastAsia="fr-FR" w:bidi="fr-FR"/>
        </w:rPr>
        <w:t>Dépendances entre risques</w:t>
      </w:r>
    </w:p>
    <w:p>
      <w:pPr>
        <w:keepLines w:val="0"/>
      </w:pPr>
      <w:r>
        <w:rPr>
          <w:rFonts w:ascii="Calibri" w:hAnsi="Calibri" w:cs="Calibri"/>
          <w:b w:val="0"/>
          <w:i w:val="0"/>
          <w:lang w:val="fr-FR" w:eastAsia="fr-FR" w:bidi="fr-FR"/>
        </w:rPr>
        <w:t>Plusieurs risques sont couplés. Reproduire le déploiement est un préalable à des tests significatifs de performance, de sécurité et de reprise. Déplacer la coordination vers Redis/des files est un préalable à une mise à l'échelle horizontale sûre. Finaliser le worker de notifications est un préalable à des affirmations honnêtes de livraison. Faire converger le catalogue commercial est un préalable à une facturation et une analytique des droits fiables.</w:t>
      </w:r>
    </w:p>
    <w:p>
      <w:pPr>
        <w:pStyle w:val="Heading1"/>
      </w:pPr>
      <w:r>
        <w:rPr>
          <w:lang w:val="fr-FR" w:eastAsia="fr-FR" w:bidi="fr-FR"/>
        </w:rPr>
        <w:t>16. Feuille de route de préparation à la production</w:t>
      </w:r>
    </w:p>
    <w:p>
      <w:pPr>
        <w:pStyle w:val="Heading2"/>
      </w:pPr>
      <w:r>
        <w:rPr>
          <w:lang w:val="fr-FR" w:eastAsia="fr-FR" w:bidi="fr-FR"/>
        </w:rPr>
        <w:t>Phase 0 — Récupération des preuves (jours 0–14)</w:t>
      </w:r>
    </w:p>
    <w:p>
      <w:pPr>
        <w:keepLines/>
        <w:numPr>
          <w:ilvl w:val="0"/>
          <w:numId w:val="10"/>
        </w:numPr>
        <w:spacing w:after="160" w:line="280" w:lineRule="auto"/>
      </w:pPr>
      <w:r>
        <w:rPr>
          <w:rFonts w:ascii="Calibri" w:hAnsi="Calibri" w:cs="Calibri"/>
          <w:lang w:val="fr-FR" w:eastAsia="fr-FR" w:bidi="fr-FR"/>
        </w:rPr>
        <w:t>Récupérer le dépôt canonique et tous les artefacts référencés : Turbo, TypeScript, scripts, Compose, déploiement des migrations, sauvegarde/restauration, amorçage administrateur et analyses de sécurité.</w:t>
      </w:r>
    </w:p>
    <w:p>
      <w:pPr>
        <w:keepLines/>
        <w:numPr>
          <w:ilvl w:val="0"/>
          <w:numId w:val="10"/>
        </w:numPr>
        <w:spacing w:after="160" w:line="280" w:lineRule="auto"/>
      </w:pPr>
      <w:r>
        <w:rPr>
          <w:rFonts w:ascii="Calibri" w:hAnsi="Calibri" w:cs="Calibri"/>
          <w:lang w:val="fr-FR" w:eastAsia="fr-FR" w:bidi="fr-FR"/>
        </w:rPr>
        <w:t>Créer un runner CI propre et figé qui installe, génère, exécute le lint, vérifie les types, teste, construit, crée les images, migre une base vierge et démarre un environnement éphémère.</w:t>
      </w:r>
    </w:p>
    <w:p>
      <w:pPr>
        <w:keepLines/>
        <w:numPr>
          <w:ilvl w:val="0"/>
          <w:numId w:val="10"/>
        </w:numPr>
        <w:spacing w:after="160" w:line="280" w:lineRule="auto"/>
      </w:pPr>
      <w:r>
        <w:rPr>
          <w:rFonts w:ascii="Calibri" w:hAnsi="Calibri" w:cs="Calibri"/>
          <w:lang w:val="fr-FR" w:eastAsia="fr-FR" w:bidi="fr-FR"/>
        </w:rPr>
        <w:t>Corriger ou supprimer les dépendances vulnérables et inutilisées ; aligner les plages de pairs React/Next/outillage ; relancer l'analyse SCA de production et créer un SBOM.</w:t>
      </w:r>
    </w:p>
    <w:p>
      <w:pPr>
        <w:keepLines/>
        <w:numPr>
          <w:ilvl w:val="0"/>
          <w:numId w:val="10"/>
        </w:numPr>
        <w:spacing w:after="160" w:line="280" w:lineRule="auto"/>
      </w:pPr>
      <w:r>
        <w:rPr>
          <w:rFonts w:ascii="Calibri" w:hAnsi="Calibri" w:cs="Calibri"/>
          <w:lang w:val="fr-FR" w:eastAsia="fr-FR" w:bidi="fr-FR"/>
        </w:rPr>
        <w:t>Retirer les artefacts d'environnement, de build et de cache des exports de sources, et renouveler tout identifiant susceptible d'avoir été archivé.</w:t>
      </w:r>
    </w:p>
    <w:p>
      <w:pPr>
        <w:keepLines/>
        <w:numPr>
          <w:ilvl w:val="0"/>
          <w:numId w:val="10"/>
        </w:numPr>
        <w:spacing w:after="160" w:line="280" w:lineRule="auto"/>
      </w:pPr>
      <w:r>
        <w:rPr>
          <w:rFonts w:ascii="Calibri" w:hAnsi="Calibri" w:cs="Calibri"/>
          <w:lang w:val="fr-FR" w:eastAsia="fr-FR" w:bidi="fr-FR"/>
        </w:rPr>
        <w:t>Retirer du périmètre de production l'interface/le service non fonctionnel de gestion des conteneurs.</w:t>
      </w:r>
    </w:p>
    <w:p>
      <w:pPr>
        <w:pStyle w:val="Heading3"/>
      </w:pPr>
      <w:r>
        <w:rPr>
          <w:lang w:val="fr-FR" w:eastAsia="fr-FR" w:bidi="fr-FR"/>
        </w:rPr>
        <w:t>Preuves de sortie</w:t>
      </w:r>
    </w:p>
    <w:p>
      <w:pPr>
        <w:keepLines w:val="0"/>
      </w:pPr>
      <w:r>
        <w:rPr>
          <w:rFonts w:ascii="Calibri" w:hAnsi="Calibri" w:cs="Calibri"/>
          <w:b w:val="0"/>
          <w:i w:val="0"/>
          <w:lang w:val="fr-FR" w:eastAsia="fr-FR" w:bidi="fr-FR"/>
        </w:rPr>
        <w:t>Un commit signé et un build immuable produisent tous les artefacts déployables depuis un runner propre ; tous les contrôles statiques/tests se terminent ; la politique de vulnérabilités de production est respectée ; l'environnement de smoke test déployé est reproductible.</w:t>
      </w:r>
    </w:p>
    <w:p>
      <w:pPr>
        <w:pStyle w:val="Heading2"/>
      </w:pPr>
      <w:r>
        <w:rPr>
          <w:lang w:val="fr-FR" w:eastAsia="fr-FR" w:bidi="fr-FR"/>
        </w:rPr>
        <w:t>Phase 1 — Correction et état partagé (jours 15–30)</w:t>
      </w:r>
    </w:p>
    <w:p>
      <w:pPr>
        <w:keepLines/>
        <w:numPr>
          <w:ilvl w:val="0"/>
          <w:numId w:val="10"/>
        </w:numPr>
        <w:spacing w:after="160" w:line="280" w:lineRule="auto"/>
      </w:pPr>
      <w:r>
        <w:rPr>
          <w:rFonts w:ascii="Calibri" w:hAnsi="Calibri" w:cs="Calibri"/>
          <w:lang w:val="fr-FR" w:eastAsia="fr-FR" w:bidi="fr-FR"/>
        </w:rPr>
        <w:t>Implémenter un dispatcher durable de notifications avec baux, reprises, état de lettres mortes, adaptateurs fournisseurs, publication Redis/socket et métriques de livraison.</w:t>
      </w:r>
    </w:p>
    <w:p>
      <w:pPr>
        <w:keepLines/>
        <w:numPr>
          <w:ilvl w:val="0"/>
          <w:numId w:val="10"/>
        </w:numPr>
        <w:spacing w:after="160" w:line="280" w:lineRule="auto"/>
      </w:pPr>
      <w:r>
        <w:rPr>
          <w:rFonts w:ascii="Calibri" w:hAnsi="Calibri" w:cs="Calibri"/>
          <w:lang w:val="fr-FR" w:eastAsia="fr-FR" w:bidi="fr-FR"/>
        </w:rPr>
        <w:t>Déplacer la limitation de débit et l'idempotence des commandes vers Redis/PostgreSQL partagés ; définir la sémantique d'idempotence pour les réservations, paiements, remboursements et commandes déclenchées par webhook.</w:t>
      </w:r>
    </w:p>
    <w:p>
      <w:pPr>
        <w:keepLines/>
        <w:numPr>
          <w:ilvl w:val="0"/>
          <w:numId w:val="10"/>
        </w:numPr>
        <w:spacing w:after="160" w:line="280" w:lineRule="auto"/>
      </w:pPr>
      <w:r>
        <w:rPr>
          <w:rFonts w:ascii="Calibri" w:hAnsi="Calibri" w:cs="Calibri"/>
          <w:lang w:val="fr-FR" w:eastAsia="fr-FR" w:bidi="fr-FR"/>
        </w:rPr>
        <w:t>Déplacer les planifications vers un planificateur/une file externe ou ajouter des baux de leadership ; rendre idempotente chaque transition d'état de tâche.</w:t>
      </w:r>
    </w:p>
    <w:p>
      <w:pPr>
        <w:keepLines/>
        <w:numPr>
          <w:ilvl w:val="0"/>
          <w:numId w:val="10"/>
        </w:numPr>
        <w:spacing w:after="160" w:line="280" w:lineRule="auto"/>
      </w:pPr>
      <w:r>
        <w:rPr>
          <w:rFonts w:ascii="Calibri" w:hAnsi="Calibri" w:cs="Calibri"/>
          <w:lang w:val="fr-FR" w:eastAsia="fr-FR" w:bidi="fr-FR"/>
        </w:rPr>
        <w:t>Remplacer les fichiers privés locaux par du stockage objet, des accès signés et limités, une validation anti-malware/média, du chiffrement, du versionnage et des politiques de cycle de vie.</w:t>
      </w:r>
    </w:p>
    <w:p>
      <w:pPr>
        <w:keepLines/>
        <w:numPr>
          <w:ilvl w:val="0"/>
          <w:numId w:val="10"/>
        </w:numPr>
        <w:spacing w:after="160" w:line="280" w:lineRule="auto"/>
      </w:pPr>
      <w:r>
        <w:rPr>
          <w:rFonts w:ascii="Calibri" w:hAnsi="Calibri" w:cs="Calibri"/>
          <w:lang w:val="fr-FR" w:eastAsia="fr-FR" w:bidi="fr-FR"/>
        </w:rPr>
        <w:t>Ajouter des contrôles de préparation de la base, de Redis et du stockage, ainsi qu'un comportement d'arrêt/vidange gracieux.</w:t>
      </w:r>
    </w:p>
    <w:p>
      <w:pPr>
        <w:pStyle w:val="Heading3"/>
      </w:pPr>
      <w:r>
        <w:rPr>
          <w:lang w:val="fr-FR" w:eastAsia="fr-FR" w:bidi="fr-FR"/>
        </w:rPr>
        <w:t>Preuves de sortie</w:t>
      </w:r>
    </w:p>
    <w:p>
      <w:pPr>
        <w:keepLines w:val="0"/>
      </w:pPr>
      <w:r>
        <w:rPr>
          <w:rFonts w:ascii="Calibri" w:hAnsi="Calibri" w:cs="Calibri"/>
          <w:b w:val="0"/>
          <w:i w:val="0"/>
          <w:lang w:val="fr-FR" w:eastAsia="fr-FR" w:bidi="fr-FR"/>
        </w:rPr>
        <w:t>Deux répliques de l'API réussissent les tests de concurrence, de reprise, de bascule, d'accès aux fichiers, de tâches planifiées et de livraison des notifications sans doublons ni perte d'état.</w:t>
      </w:r>
    </w:p>
    <w:p>
      <w:pPr>
        <w:pStyle w:val="Heading2"/>
      </w:pPr>
      <w:r>
        <w:rPr>
          <w:lang w:val="fr-FR" w:eastAsia="fr-FR" w:bidi="fr-FR"/>
        </w:rPr>
        <w:t>Phase 2 — Maîtrise opérationnelle (jours 31–60)</w:t>
      </w:r>
    </w:p>
    <w:p>
      <w:pPr>
        <w:keepLines/>
        <w:numPr>
          <w:ilvl w:val="0"/>
          <w:numId w:val="10"/>
        </w:numPr>
        <w:spacing w:after="160" w:line="280" w:lineRule="auto"/>
      </w:pPr>
      <w:r>
        <w:rPr>
          <w:rFonts w:ascii="Calibri" w:hAnsi="Calibri" w:cs="Calibri"/>
          <w:lang w:val="fr-FR" w:eastAsia="fr-FR" w:bidi="fr-FR"/>
        </w:rPr>
        <w:t>Instrumenter des journaux structurés, traces et métriques de service/métier ; publier des tableaux de bord et alertes pour la latence, les erreurs, la saturation, le retard des webhooks, des tâches et de l'outbox, ainsi que le rapprochement des paiements.</w:t>
      </w:r>
    </w:p>
    <w:p>
      <w:pPr>
        <w:keepLines/>
        <w:numPr>
          <w:ilvl w:val="0"/>
          <w:numId w:val="10"/>
        </w:numPr>
        <w:spacing w:after="160" w:line="280" w:lineRule="auto"/>
      </w:pPr>
      <w:r>
        <w:rPr>
          <w:rFonts w:ascii="Calibri" w:hAnsi="Calibri" w:cs="Calibri"/>
          <w:lang w:val="fr-FR" w:eastAsia="fr-FR" w:bidi="fr-FR"/>
        </w:rPr>
        <w:t>Définir des SLO et des budgets d'erreur pour la recherche, le devis, la réservation, la confirmation de paiement, les opérations des tenants et la livraison des notifications.</w:t>
      </w:r>
    </w:p>
    <w:p>
      <w:pPr>
        <w:keepLines/>
        <w:numPr>
          <w:ilvl w:val="0"/>
          <w:numId w:val="10"/>
        </w:numPr>
        <w:spacing w:after="160" w:line="280" w:lineRule="auto"/>
      </w:pPr>
      <w:r>
        <w:rPr>
          <w:rFonts w:ascii="Calibri" w:hAnsi="Calibri" w:cs="Calibri"/>
          <w:lang w:val="fr-FR" w:eastAsia="fr-FR" w:bidi="fr-FR"/>
        </w:rPr>
        <w:t>Automatiser les sauvegardes PostgreSQL chiffrées/PITR et le versionnage objet ; réaliser et consigner une restauration complète au regard des RPO/RTO déclarés.</w:t>
      </w:r>
    </w:p>
    <w:p>
      <w:pPr>
        <w:keepLines/>
        <w:numPr>
          <w:ilvl w:val="0"/>
          <w:numId w:val="10"/>
        </w:numPr>
        <w:spacing w:after="160" w:line="280" w:lineRule="auto"/>
      </w:pPr>
      <w:r>
        <w:rPr>
          <w:rFonts w:ascii="Calibri" w:hAnsi="Calibri" w:cs="Calibri"/>
          <w:lang w:val="fr-FR" w:eastAsia="fr-FR" w:bidi="fr-FR"/>
        </w:rPr>
        <w:t>Rendre le contrat API faisant autorité et générer des clients typés ; combler les lacunes de documentation des routes.</w:t>
      </w:r>
    </w:p>
    <w:p>
      <w:pPr>
        <w:keepLines/>
        <w:numPr>
          <w:ilvl w:val="0"/>
          <w:numId w:val="10"/>
        </w:numPr>
        <w:spacing w:after="160" w:line="280" w:lineRule="auto"/>
      </w:pPr>
      <w:r>
        <w:rPr>
          <w:rFonts w:ascii="Calibri" w:hAnsi="Calibri" w:cs="Calibri"/>
          <w:lang w:val="fr-FR" w:eastAsia="fr-FR" w:bidi="fr-FR"/>
        </w:rPr>
        <w:t>Faire converger les anciens modèles de facturation/notification et publier les preuves de migration/rapprochement des données.</w:t>
      </w:r>
    </w:p>
    <w:p>
      <w:pPr>
        <w:keepLines/>
        <w:numPr>
          <w:ilvl w:val="0"/>
          <w:numId w:val="10"/>
        </w:numPr>
        <w:spacing w:after="160" w:line="280" w:lineRule="auto"/>
      </w:pPr>
      <w:r>
        <w:rPr>
          <w:rFonts w:ascii="Calibri" w:hAnsi="Calibri" w:cs="Calibri"/>
          <w:lang w:val="fr-FR" w:eastAsia="fr-FR" w:bidi="fr-FR"/>
        </w:rPr>
        <w:t>Créer une cartographie des données de confidentialité, des calendriers de conservation, un audit des accès privilégiés et des workflows pour les personnes concernées.</w:t>
      </w:r>
    </w:p>
    <w:p>
      <w:pPr>
        <w:pStyle w:val="Heading3"/>
      </w:pPr>
      <w:r>
        <w:rPr>
          <w:lang w:val="fr-FR" w:eastAsia="fr-FR" w:bidi="fr-FR"/>
        </w:rPr>
        <w:t>Preuves de sortie</w:t>
      </w:r>
    </w:p>
    <w:p>
      <w:pPr>
        <w:keepLines w:val="0"/>
      </w:pPr>
      <w:r>
        <w:rPr>
          <w:rFonts w:ascii="Calibri" w:hAnsi="Calibri" w:cs="Calibri"/>
          <w:b w:val="0"/>
          <w:i w:val="0"/>
          <w:lang w:val="fr-FR" w:eastAsia="fr-FR" w:bidi="fr-FR"/>
        </w:rPr>
        <w:t>Un incident en staging peut être détecté, tracé, atténué et résolu à l'aide de runbooks documentés ; un exercice de restauration et de rapprochement fournisseur respecte les objectifs approuvés.</w:t>
      </w:r>
    </w:p>
    <w:p>
      <w:pPr>
        <w:pStyle w:val="Heading2"/>
      </w:pPr>
      <w:r>
        <w:rPr>
          <w:lang w:val="fr-FR" w:eastAsia="fr-FR" w:bidi="fr-FR"/>
        </w:rPr>
        <w:t>Phase 3 — Échelle et assurance (jours 61–90)</w:t>
      </w:r>
    </w:p>
    <w:p>
      <w:pPr>
        <w:keepLines/>
        <w:numPr>
          <w:ilvl w:val="0"/>
          <w:numId w:val="10"/>
        </w:numPr>
        <w:spacing w:after="160" w:line="280" w:lineRule="auto"/>
      </w:pPr>
      <w:r>
        <w:rPr>
          <w:rFonts w:ascii="Calibri" w:hAnsi="Calibri" w:cs="Calibri"/>
          <w:lang w:val="fr-FR" w:eastAsia="fr-FR" w:bidi="fr-FR"/>
        </w:rPr>
        <w:t>Exécuter des tests représentatifs de charge, d'endurance, de concurrence et d'injection de pannes avec des données asymétriques par tenant et des rafales fournisseur/webhook.</w:t>
      </w:r>
    </w:p>
    <w:p>
      <w:pPr>
        <w:keepLines/>
        <w:numPr>
          <w:ilvl w:val="0"/>
          <w:numId w:val="10"/>
        </w:numPr>
        <w:spacing w:after="160" w:line="280" w:lineRule="auto"/>
      </w:pPr>
      <w:r>
        <w:rPr>
          <w:rFonts w:ascii="Calibri" w:hAnsi="Calibri" w:cs="Calibri"/>
          <w:lang w:val="fr-FR" w:eastAsia="fr-FR" w:bidi="fr-FR"/>
        </w:rPr>
        <w:t>Achever une modélisation indépendante des menaces et des tests d'intrusion ; corriger les constats critiques/élevés ou consigner une acceptation limitée dans le temps.</w:t>
      </w:r>
    </w:p>
    <w:p>
      <w:pPr>
        <w:keepLines/>
        <w:numPr>
          <w:ilvl w:val="0"/>
          <w:numId w:val="10"/>
        </w:numPr>
        <w:spacing w:after="160" w:line="280" w:lineRule="auto"/>
      </w:pPr>
      <w:r>
        <w:rPr>
          <w:rFonts w:ascii="Calibri" w:hAnsi="Calibri" w:cs="Calibri"/>
          <w:lang w:val="fr-FR" w:eastAsia="fr-FR" w:bidi="fr-FR"/>
        </w:rPr>
        <w:t>Ajouter des tests négatifs inter-tenants au niveau des dépôts et évaluer la sécurité au niveau des lignes de la base comme défense en profondeur.</w:t>
      </w:r>
    </w:p>
    <w:p>
      <w:pPr>
        <w:keepLines/>
        <w:numPr>
          <w:ilvl w:val="0"/>
          <w:numId w:val="10"/>
        </w:numPr>
        <w:spacing w:after="160" w:line="280" w:lineRule="auto"/>
      </w:pPr>
      <w:r>
        <w:rPr>
          <w:rFonts w:ascii="Calibri" w:hAnsi="Calibri" w:cs="Calibri"/>
          <w:lang w:val="fr-FR" w:eastAsia="fr-FR" w:bidi="fr-FR"/>
        </w:rPr>
        <w:t>Aligner un catalogue unique de plans/prix/droits entre marketing, paiement, application des règles, administration et factures.</w:t>
      </w:r>
    </w:p>
    <w:p>
      <w:pPr>
        <w:keepLines/>
        <w:numPr>
          <w:ilvl w:val="0"/>
          <w:numId w:val="10"/>
        </w:numPr>
        <w:spacing w:after="160" w:line="280" w:lineRule="auto"/>
      </w:pPr>
      <w:r>
        <w:rPr>
          <w:rFonts w:ascii="Calibri" w:hAnsi="Calibri" w:cs="Calibri"/>
          <w:lang w:val="fr-FR" w:eastAsia="fr-FR" w:bidi="fr-FR"/>
        </w:rPr>
        <w:t>Tester le canari/rollback, la compatibilité des migrations, la rotation des clés, les pannes fournisseur, l'accumulation de file et les défaillances partielles d'infrastructure.</w:t>
      </w:r>
    </w:p>
    <w:p>
      <w:pPr>
        <w:pStyle w:val="Heading3"/>
      </w:pPr>
      <w:r>
        <w:rPr>
          <w:lang w:val="fr-FR" w:eastAsia="fr-FR" w:bidi="fr-FR"/>
        </w:rPr>
        <w:t>Preuves de sortie</w:t>
      </w:r>
    </w:p>
    <w:p>
      <w:pPr>
        <w:keepLines w:val="0"/>
      </w:pPr>
      <w:r>
        <w:rPr>
          <w:rFonts w:ascii="Calibri" w:hAnsi="Calibri" w:cs="Calibri"/>
          <w:b w:val="0"/>
          <w:i w:val="0"/>
          <w:lang w:val="fr-FR" w:eastAsia="fr-FR" w:bidi="fr-FR"/>
        </w:rPr>
        <w:t>La plateforme supporte un profil de charge convenu dans les SLO, survit aux pannes attendues sans corruption de tenant/données et ne présente aucun constat de sécurité critique/élevé non résolu.</w:t>
      </w:r>
    </w:p>
    <w:p>
      <w:pPr>
        <w:pStyle w:val="Heading2"/>
      </w:pPr>
      <w:r>
        <w:rPr>
          <w:lang w:val="fr-FR" w:eastAsia="fr-FR" w:bidi="fr-FR"/>
        </w:rPr>
        <w:t>Phase 4 — Évolution sélective (mois 3–6)</w:t>
      </w:r>
    </w:p>
    <w:p>
      <w:pPr>
        <w:keepLines w:val="0"/>
      </w:pPr>
      <w:r>
        <w:rPr>
          <w:rFonts w:ascii="Calibri" w:hAnsi="Calibri" w:cs="Calibri"/>
          <w:b w:val="0"/>
          <w:i w:val="0"/>
          <w:lang w:val="fr-FR" w:eastAsia="fr-FR" w:bidi="fr-FR"/>
        </w:rPr>
        <w:t>Conserver le monolithe modulaire tant que les preuves n'identifient pas une frontière. Les paiements/webhooks, notifications et traitements média sont les premières extractions les plus plausibles, car ils ont des besoins indépendants de reprise, de sécurité, de fournisseur et d'échelle. Extraire des domaines CRUD génériques ajouterait une charge opérationnelle sans bénéfice clair.</w:t>
      </w:r>
    </w:p>
    <w:p>
      <w:pPr>
        <w:pStyle w:val="Heading1"/>
      </w:pPr>
      <w:r>
        <w:rPr>
          <w:lang w:val="fr-FR" w:eastAsia="fr-FR" w:bidi="fr-FR"/>
        </w:rPr>
        <w:t>17. Discipline des affirmations destinées aux investisseurs</w:t>
      </w:r>
    </w:p>
    <w:p>
      <w:pPr>
        <w:pStyle w:val="Heading2"/>
      </w:pPr>
      <w:r>
        <w:rPr>
          <w:lang w:val="fr-FR" w:eastAsia="fr-FR" w:bidi="fr-FR"/>
        </w:rPr>
        <w:t>Affirmations étayées par le code examiné</w:t>
      </w:r>
    </w:p>
    <w:p>
      <w:pPr>
        <w:keepLines/>
        <w:numPr>
          <w:ilvl w:val="0"/>
          <w:numId w:val="10"/>
        </w:numPr>
        <w:spacing w:after="160" w:line="280" w:lineRule="auto"/>
      </w:pPr>
      <w:r>
        <w:rPr>
          <w:rFonts w:ascii="Calibri" w:hAnsi="Calibri" w:cs="Calibri"/>
          <w:lang w:val="fr-FR" w:eastAsia="fr-FR" w:bidi="fr-FR"/>
        </w:rPr>
        <w:t>Une plateforme multi-tenant de gestion locative avec des surfaces distinctes pour le marketing, la place de marché, les tenants, les administrateurs et l'API.</w:t>
      </w:r>
    </w:p>
    <w:p>
      <w:pPr>
        <w:keepLines/>
        <w:numPr>
          <w:ilvl w:val="0"/>
          <w:numId w:val="10"/>
        </w:numPr>
        <w:spacing w:after="160" w:line="280" w:lineRule="auto"/>
      </w:pPr>
      <w:r>
        <w:rPr>
          <w:rFonts w:ascii="Calibri" w:hAnsi="Calibri" w:cs="Calibri"/>
          <w:lang w:val="fr-FR" w:eastAsia="fr-FR" w:bidi="fr-FR"/>
        </w:rPr>
        <w:t>Un vaste domaine de location couvrant flotte, tarification, réservations, clients, contrats/documents, assurance, dommages, avis, réclamations, facturation, abonnements et notifications.</w:t>
      </w:r>
    </w:p>
    <w:p>
      <w:pPr>
        <w:keepLines/>
        <w:numPr>
          <w:ilvl w:val="0"/>
          <w:numId w:val="10"/>
        </w:numPr>
        <w:spacing w:after="160" w:line="280" w:lineRule="auto"/>
      </w:pPr>
      <w:r>
        <w:rPr>
          <w:rFonts w:ascii="Calibri" w:hAnsi="Calibri" w:cs="Calibri"/>
          <w:lang w:val="fr-FR" w:eastAsia="fr-FR" w:bidi="fr-FR"/>
        </w:rPr>
        <w:t>Des expériences utilisateur en anglais, français et arabe, avec une intention de conception RTL.</w:t>
      </w:r>
    </w:p>
    <w:p>
      <w:pPr>
        <w:keepLines/>
        <w:numPr>
          <w:ilvl w:val="0"/>
          <w:numId w:val="10"/>
        </w:numPr>
        <w:spacing w:after="160" w:line="280" w:lineRule="auto"/>
      </w:pPr>
      <w:r>
        <w:rPr>
          <w:rFonts w:ascii="Calibri" w:hAnsi="Calibri" w:cs="Calibri"/>
          <w:lang w:val="fr-FR" w:eastAsia="fr-FR" w:bidi="fr-FR"/>
        </w:rPr>
        <w:t>Des contrôles d'accès sensibles aux rôles et tenants, la 2FA administrateur, la protection cookie-CSRF, des routes de fichiers privés et des webhooks de paiement signés.</w:t>
      </w:r>
    </w:p>
    <w:p>
      <w:pPr>
        <w:keepLines/>
        <w:numPr>
          <w:ilvl w:val="0"/>
          <w:numId w:val="10"/>
        </w:numPr>
        <w:spacing w:after="160" w:line="280" w:lineRule="auto"/>
      </w:pPr>
      <w:r>
        <w:rPr>
          <w:rFonts w:ascii="Calibri" w:hAnsi="Calibri" w:cs="Calibri"/>
          <w:lang w:val="fr-FR" w:eastAsia="fr-FR" w:bidi="fr-FR"/>
        </w:rPr>
        <w:t>Du code d'intégration Stripe, PayPal et AmanPay, Stripe constituant le parcours actuel de paiement des abonnements.</w:t>
      </w:r>
    </w:p>
    <w:p>
      <w:pPr>
        <w:keepLines/>
        <w:numPr>
          <w:ilvl w:val="0"/>
          <w:numId w:val="10"/>
        </w:numPr>
        <w:spacing w:after="160" w:line="280" w:lineRule="auto"/>
      </w:pPr>
      <w:r>
        <w:rPr>
          <w:rFonts w:ascii="Calibri" w:hAnsi="Calibri" w:cs="Calibri"/>
          <w:lang w:val="fr-FR" w:eastAsia="fr-FR" w:bidi="fr-FR"/>
        </w:rPr>
        <w:t>Un modèle de données PostgreSQL/Prisma substantiel, avec 67 modèles, 60 énumérations et 49 répertoires de migration.</w:t>
      </w:r>
    </w:p>
    <w:p>
      <w:pPr>
        <w:keepLines/>
        <w:numPr>
          <w:ilvl w:val="0"/>
          <w:numId w:val="10"/>
        </w:numPr>
        <w:spacing w:after="160" w:line="280" w:lineRule="auto"/>
      </w:pPr>
      <w:r>
        <w:rPr>
          <w:rFonts w:ascii="Calibri" w:hAnsi="Calibri" w:cs="Calibri"/>
          <w:lang w:val="fr-FR" w:eastAsia="fr-FR" w:bidi="fr-FR"/>
        </w:rPr>
        <w:t>Des sources de tests automatisés significatives et une structure API modulaire.</w:t>
      </w:r>
    </w:p>
    <w:p>
      <w:pPr>
        <w:pStyle w:val="Heading2"/>
      </w:pPr>
      <w:r>
        <w:rPr>
          <w:lang w:val="fr-FR" w:eastAsia="fr-FR" w:bidi="fr-FR"/>
        </w:rPr>
        <w:t>Affirmations non étayables sans preuves supplémentaires</w:t>
      </w:r>
    </w:p>
    <w:p>
      <w:pPr>
        <w:keepLines/>
        <w:numPr>
          <w:ilvl w:val="0"/>
          <w:numId w:val="10"/>
        </w:numPr>
        <w:spacing w:after="160" w:line="280" w:lineRule="auto"/>
      </w:pPr>
      <w:r>
        <w:rPr>
          <w:rFonts w:ascii="Calibri" w:hAnsi="Calibri" w:cs="Calibri"/>
          <w:lang w:val="fr-FR" w:eastAsia="fr-FR" w:bidi="fr-FR"/>
        </w:rPr>
        <w:t>Prêt pour la production, hautement disponible, évolutif horizontalement, sans interruption ou testé pour la reprise après sinistre.</w:t>
      </w:r>
    </w:p>
    <w:p>
      <w:pPr>
        <w:keepLines/>
        <w:numPr>
          <w:ilvl w:val="0"/>
          <w:numId w:val="10"/>
        </w:numPr>
        <w:spacing w:after="160" w:line="280" w:lineRule="auto"/>
      </w:pPr>
      <w:r>
        <w:rPr>
          <w:rFonts w:ascii="Calibri" w:hAnsi="Calibri" w:cs="Calibri"/>
          <w:lang w:val="fr-FR" w:eastAsia="fr-FR" w:bidi="fr-FR"/>
        </w:rPr>
        <w:t>CI au vert ou déployable de manière reproductible depuis le package fourni.</w:t>
      </w:r>
    </w:p>
    <w:p>
      <w:pPr>
        <w:keepLines/>
        <w:numPr>
          <w:ilvl w:val="0"/>
          <w:numId w:val="10"/>
        </w:numPr>
        <w:spacing w:after="160" w:line="280" w:lineRule="auto"/>
      </w:pPr>
      <w:r>
        <w:rPr>
          <w:rFonts w:ascii="Calibri" w:hAnsi="Calibri" w:cs="Calibri"/>
          <w:lang w:val="fr-FR" w:eastAsia="fr-FR" w:bidi="fr-FR"/>
        </w:rPr>
        <w:t>Couverture OpenAPI complète ou contrat API externe stable.</w:t>
      </w:r>
    </w:p>
    <w:p>
      <w:pPr>
        <w:keepLines/>
        <w:numPr>
          <w:ilvl w:val="0"/>
          <w:numId w:val="10"/>
        </w:numPr>
        <w:spacing w:after="160" w:line="280" w:lineRule="auto"/>
      </w:pPr>
      <w:r>
        <w:rPr>
          <w:rFonts w:ascii="Calibri" w:hAnsi="Calibri" w:cs="Calibri"/>
          <w:lang w:val="fr-FR" w:eastAsia="fr-FR" w:bidi="fr-FR"/>
        </w:rPr>
        <w:t>Livraison garantie des notifications par e-mail, push, SMS ou temps réel via l'outbox modélisée.</w:t>
      </w:r>
    </w:p>
    <w:p>
      <w:pPr>
        <w:keepLines/>
        <w:numPr>
          <w:ilvl w:val="0"/>
          <w:numId w:val="10"/>
        </w:numPr>
        <w:spacing w:after="160" w:line="280" w:lineRule="auto"/>
      </w:pPr>
      <w:r>
        <w:rPr>
          <w:rFonts w:ascii="Calibri" w:hAnsi="Calibri" w:cs="Calibri"/>
          <w:lang w:val="fr-FR" w:eastAsia="fr-FR" w:bidi="fr-FR"/>
        </w:rPr>
        <w:t>Isolation des conteneurs par tenant ou orchestration fonctionnelle des conteneurs de tenants.</w:t>
      </w:r>
    </w:p>
    <w:p>
      <w:pPr>
        <w:keepLines/>
        <w:numPr>
          <w:ilvl w:val="0"/>
          <w:numId w:val="10"/>
        </w:numPr>
        <w:spacing w:after="160" w:line="280" w:lineRule="auto"/>
      </w:pPr>
      <w:r>
        <w:rPr>
          <w:rFonts w:ascii="Calibri" w:hAnsi="Calibri" w:cs="Calibri"/>
          <w:lang w:val="fr-FR" w:eastAsia="fr-FR" w:bidi="fr-FR"/>
        </w:rPr>
        <w:t>KYC, vérification d'identité ou vérification d'authenticité du permis de conduire.</w:t>
      </w:r>
    </w:p>
    <w:p>
      <w:pPr>
        <w:keepLines/>
        <w:numPr>
          <w:ilvl w:val="0"/>
          <w:numId w:val="10"/>
        </w:numPr>
        <w:spacing w:after="160" w:line="280" w:lineRule="auto"/>
      </w:pPr>
      <w:r>
        <w:rPr>
          <w:rFonts w:ascii="Calibri" w:hAnsi="Calibri" w:cs="Calibri"/>
          <w:lang w:val="fr-FR" w:eastAsia="fr-FR" w:bidi="fr-FR"/>
        </w:rPr>
        <w:t>Conformité complète à la confidentialité, chiffrement des champs, automatisation de la conservation des données ou posture de sécurité certifiée.</w:t>
      </w:r>
    </w:p>
    <w:p>
      <w:pPr>
        <w:keepLines/>
        <w:numPr>
          <w:ilvl w:val="0"/>
          <w:numId w:val="10"/>
        </w:numPr>
        <w:spacing w:after="160" w:line="280" w:lineRule="auto"/>
      </w:pPr>
      <w:r>
        <w:rPr>
          <w:rFonts w:ascii="Calibri" w:hAnsi="Calibri" w:cs="Calibri"/>
          <w:lang w:val="fr-FR" w:eastAsia="fr-FR" w:bidi="fr-FR"/>
        </w:rPr>
        <w:t>Certification de production des fournisseurs de paiement, exactitude des rapprochements ou périmètre PCI sans preuves externes.</w:t>
      </w:r>
    </w:p>
    <w:p>
      <w:pPr>
        <w:pStyle w:val="Heading2"/>
      </w:pPr>
      <w:r>
        <w:rPr>
          <w:lang w:val="fr-FR" w:eastAsia="fr-FR" w:bidi="fr-FR"/>
        </w:rPr>
        <w:t>Liste de demandes de diligence technique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500"/>
        <w:gridCol w:w="78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Zone</w:t>
            </w:r>
          </w:p>
        </w:tc>
        <w:tc>
          <w:tcPr>
            <w:tcW w:type="dxa" w:w="78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Preuves à demander</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Dépôt</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Dépôt Git canonique, historique complet, protections de branches, CODEOWNERS, tag de livraison actuel, politique de mise à jour des dépendances.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Livraison</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Définitions CI/CD, registre d'images immuables, SBOM/signature/provenance, manifestes de déploiement, preuves de rollback.</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Production</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Architecture/topologie, inventaire cloud, flux réseau/données, trafic, nombre de tenants, volume flotte/réservations, plan de capacité.</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Fiabilité</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SLO, tableaux de bord, alertes, historique d'incidents, postmortems, astreinte, tests de sauvegarde/restauration, RPO/RTO.</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Sécurité</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Modèle de menaces, résultats pen-test/SAST/SCA, conception secrets/KMS, SLA de vulnérabilités, revues d'accès, couverture des journaux d'audit.</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Confidentialité</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Inventaire des données, conservation/suppression, base légale/consentement, liste des sous-traitants, localisation des données, DSAR et procédures de violation.</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Finance</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Contrats fournisseurs, périmètre PCI, rapports de rapprochement, contrôles de remboursement, logique fiscale, source de vérité catalogue/droits.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Qualité</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Exécutions CI récentes, tendance tests/couverture, liste de tests instables, résultats performance/charge, matrice navigateurs/runtimes pris en charge.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Feuille de route</w:t>
            </w:r>
          </w:p>
        </w:tc>
        <w:tc>
          <w:tcPr>
            <w:tcW w:type="dxa" w:w="78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Responsables nommés, budget, dates et preuves de sortie pour chaque élément P0/P1 de ce rapport.</w:t>
            </w:r>
          </w:p>
        </w:tc>
      </w:tr>
    </w:tbl>
    <w:p>
      <w:pPr>
        <w:spacing w:after="20"/>
      </w:pPr>
    </w:p>
    <w:p>
      <w:pPr>
        <w:pStyle w:val="Heading2"/>
      </w:pPr>
      <w:r>
        <w:rPr>
          <w:lang w:val="fr-FR" w:eastAsia="fr-FR" w:bidi="fr-FR"/>
        </w:rPr>
        <w:t>Pertinence pour la valorisation</w:t>
      </w:r>
    </w:p>
    <w:p>
      <w:pPr>
        <w:keepLines w:val="0"/>
      </w:pPr>
      <w:r>
        <w:rPr>
          <w:rFonts w:ascii="Calibri" w:hAnsi="Calibri" w:cs="Calibri"/>
          <w:b w:val="0"/>
          <w:i w:val="0"/>
          <w:lang w:val="fr-FR" w:eastAsia="fr-FR" w:bidi="fr-FR"/>
        </w:rPr>
        <w:t>La base de code réduit les risques de découverte produit et de modèle métier : un volume important de workflows et de schémas existe déjà. Elle n'élimine pas le risque d'exécution. La valeur à court terme dépend de la capacité de l'équipe à transformer le système actuel en actif de production reproductible, à prouver sa correction aux frontières commerciales et des tenants, et à l'exploiter avec une fiabilité mesurée. Le capital doit être lié à des jalons produisant des preuves plutôt qu'à un nombre de fonctionnalités.</w:t>
      </w:r>
    </w:p>
    <w:p>
      <w:pPr>
        <w:keepLines/>
        <w:spacing w:before="100" w:after="200"/>
        <w:ind w:left="173" w:right="115"/>
        <w:shd w:fill="EAF5EF"/>
        <w:pBdr>
          <w:left w:val="single" w:sz="20" w:space="8" w:color="1F5E46"/>
        </w:pBdr>
      </w:pPr>
      <w:r>
        <w:rPr>
          <w:rFonts w:ascii="Calibri" w:hAnsi="Calibri" w:cs="Calibri"/>
          <w:b/>
          <w:color w:val="1F5E46"/>
          <w:lang w:val="fr-FR" w:eastAsia="fr-FR" w:bidi="fr-FR"/>
        </w:rPr>
        <w:t xml:space="preserve">Thèse d'investissement en une phrase  </w:t>
      </w:r>
      <w:r>
        <w:rPr>
          <w:rFonts w:ascii="Calibri" w:hAnsi="Calibri" w:cs="Calibri"/>
          <w:color w:val="101828"/>
          <w:lang w:val="fr-FR" w:eastAsia="fr-FR" w:bidi="fr-FR"/>
        </w:rPr>
        <w:t>RentalDriveGo possède une substance produit crédible et une architecture centrale appropriée, mais la prochaine étape investissable est le durcissement opérationnel et la preuve — non une réinvention architecturale ou une extension fonctionnelle supplémentaire.</w:t>
      </w:r>
    </w:p>
    <w:p>
      <w:r>
        <w:rPr>
          <w:lang w:val="fr-FR" w:eastAsia="fr-FR" w:bidi="fr-FR"/>
        </w:rPr>
        <w:br w:type="page"/>
      </w:r>
    </w:p>
    <w:p>
      <w:pPr>
        <w:pStyle w:val="Heading1"/>
      </w:pPr>
      <w:r>
        <w:rPr>
          <w:lang w:val="fr-FR" w:eastAsia="fr-FR" w:bidi="fr-FR"/>
        </w:rPr>
        <w:t>Annexe A — Pile technologique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500"/>
        <w:gridCol w:w="2600"/>
        <w:gridCol w:w="52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Couche</w:t>
            </w:r>
          </w:p>
        </w:tc>
        <w:tc>
          <w:tcPr>
            <w:tcW w:type="dxa" w:w="2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Technologie</w:t>
            </w:r>
          </w:p>
        </w:tc>
        <w:tc>
          <w:tcPr>
            <w:tcW w:type="dxa" w:w="52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Rôle / note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Langage</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TypeScript</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Langage principal des applications et de l'API</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Framework web</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Next.js 16.2.9</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Quatre applications front-end</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Runtime d'interface</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Front-ends React 19.2</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L'API déclare aussi React 18 pour le parcours de rendu PDF</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Backend</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Express 4.19.2</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API REST modulaire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Validation</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Zod 3.23 / homepage Zod 4.4</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Validation des requêtes et de la configuration ; divergence de versions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Base de données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PostgreSQL + Prisma 5.13</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Système relationnel de référence et migrations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Temps réel/cache</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Socket.IO 4.7 + ioredis 5.3</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Livraison temps réel et pub/sub Redis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Planification</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node-cron 4.5</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Tâches embarquées de permis/abonnement/rappel/maintenance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Stripe 22, PayPal REST, AmanPay HMAC</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Paiement/remboursement/webhooks ; paiement des abonnements actuellement via Stripe</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E-mail</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Resend 3.2 + Nodemailer 9</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Envoi transactionnel direct principal/de repli</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Fichiers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Multer + système de fichiers local</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Chemins de téléversement public/privé validés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PDF</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@react-pdf/renderer 3.4</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Génération de contrats et factures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CSS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CSS Modules + Tailwind 3.4</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Approches de style front-end séparées</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Graphiques/icônes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Recharts 2.12 + lucide-react 0.376</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Visualisation et icônes du tableau de bord/de l'administration</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Tests</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Vitest 2.1, Testing Library, Playwright, axe</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Intention de tests unitaires/intégration/navigateur/accessibilité</w:t>
            </w:r>
          </w:p>
        </w:tc>
      </w:tr>
      <w:tr>
        <w:trPr>
          <w:cantSplit/>
        </w:trPr>
        <w:tc>
          <w:tcPr>
            <w:tcW w:type="dxa" w:w="15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Construire</w:t>
            </w:r>
          </w:p>
        </w:tc>
        <w:tc>
          <w:tcPr>
            <w:tcW w:type="dxa" w:w="2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npm workspaces + Turbo 2.10</w:t>
            </w:r>
          </w:p>
        </w:tc>
        <w:tc>
          <w:tcPr>
            <w:tcW w:type="dxa" w:w="52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Orchestration racine incomplète dans l'archive fournie</w:t>
            </w:r>
          </w:p>
        </w:tc>
      </w:tr>
    </w:tbl>
    <w:p>
      <w:pPr>
        <w:spacing w:after="20"/>
      </w:pPr>
    </w:p>
    <w:p>
      <w:pPr>
        <w:pStyle w:val="Heading1"/>
      </w:pPr>
      <w:r>
        <w:rPr>
          <w:lang w:val="fr-FR" w:eastAsia="fr-FR" w:bidi="fr-FR"/>
        </w:rPr>
        <w:t>Annexe B — Catalogue complet des modèles de base de données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900"/>
        <w:gridCol w:w="74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Domaine</w:t>
            </w:r>
          </w:p>
        </w:tc>
        <w:tc>
          <w:tcPr>
            <w:tcW w:type="dxa" w:w="74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Modèles Prisma</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Tenant et accès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Company, CompanyApiKey, BrandSettings, Employee</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Cycle de vie de l'abonnement</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Subscription, SubscriptionEvent, SubscriptionInvoice, PaymentAttempt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Facturation</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BillingAccount, BillingPaymentMethod, BillingInvoice, BillingInvoiceLineItem, BillingPaymentIntent, BillingPaymentAttempt, BillingCreditBalance, BillingCreditLedgerEntry, BillingCreditNote, BillingRefund, BillingTaxRecord, BillingEvent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Flotte et tarification</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Vehicle, VehiclePricingConfiguration, VehiclePricingRule, VehiclePriceHistory, MaintenanceLog, VehicleCalendarBlock, PricingRule</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Offres et place de marché</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Offer, OfferVehicle, Renter, RenterSavedCompany, CarplaceFunnelEvent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Clients et réservations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Customer, Reservation, ReservationPublicAccess, AdditionalDriver, ReservationPhoto</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Paiements et webhooks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WebhookEvent, RentalPayment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Assurance et dommages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InsurancePolicy, ReservationInsurance, DamageReport, DamageInspection, DamagePoint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Avis et support</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Review, Complaint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Notifications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Notification, NotificationEvent, NotificationRecipient, NotificationDelivery, NotificationOutbox, NotificationTemplate, NotificationPreference, CompanyNotificationPreference</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Contrats/comptabilité</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ContractSettings, AccountingSettings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Administration de la plateforme</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AdminUser, AdminPermission, AdminRecoveryCode, AuditLog, PricingConfig, PlanFeature, MenuItem, SubscriptionMenuItem, CompanyMenuItem, MenuItemRoleVisibility, PricingPromotion</w:t>
            </w:r>
          </w:p>
        </w:tc>
      </w:tr>
    </w:tbl>
    <w:p>
      <w:pPr>
        <w:spacing w:after="20"/>
      </w:pPr>
    </w:p>
    <w:p>
      <w:pPr>
        <w:keepLines w:val="0"/>
      </w:pPr>
      <w:r>
        <w:rPr>
          <w:rFonts w:ascii="Calibri" w:hAnsi="Calibri" w:cs="Calibri"/>
          <w:b w:val="0"/>
          <w:i/>
          <w:color w:val="667085"/>
          <w:sz w:val="18"/>
          <w:lang w:val="fr-FR" w:eastAsia="fr-FR" w:bidi="fr-FR"/>
        </w:rPr>
        <w:t>Total : 67 modèles. Le schéma définit également 60 énumérations pour les rôles, statuts, plans, paiements, livraisons, états opérationnels et configurations.</w:t>
      </w:r>
    </w:p>
    <w:p>
      <w:r>
        <w:rPr>
          <w:lang w:val="fr-FR" w:eastAsia="fr-FR" w:bidi="fr-FR"/>
        </w:rPr>
        <w:br w:type="page"/>
      </w:r>
    </w:p>
    <w:p>
      <w:pPr>
        <w:pStyle w:val="Heading1"/>
      </w:pPr>
      <w:r>
        <w:rPr>
          <w:lang w:val="fr-FR" w:eastAsia="fr-FR" w:bidi="fr-FR"/>
        </w:rPr>
        <w:t>Annexe C — Inventaire des familles de routes API</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6600"/>
        <w:gridCol w:w="2760"/>
      </w:tblGrid>
      <w:tr>
        <w:trPr>
          <w:tblHeader w:val="true"/>
          <w:cantSplit/>
        </w:trPr>
        <w:tc>
          <w:tcPr>
            <w:tcW w:type="dxa" w:w="66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Famille de routes</w:t>
            </w:r>
          </w:p>
        </w:tc>
        <w:tc>
          <w:tcPr>
            <w:tcW w:type="dxa" w:w="27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8"/>
                <w:lang w:val="fr-FR" w:eastAsia="fr-FR" w:bidi="fr-FR"/>
              </w:rPr>
              <w:t>Gestionnaires à l'exécution</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admin</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70</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analytics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4</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auth/account</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auth/company</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3</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auth/employee</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9</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auth/renter</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auth/unified</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billing</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4</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carplace</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17</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companies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26</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complaints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customers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10</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licenses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notifications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12</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offers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8</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payments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9</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reservations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18</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reviews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5</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search</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site</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14</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subscriptions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17</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team</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7</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vehicles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20</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webhooks</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1</w:t>
            </w:r>
          </w:p>
        </w:tc>
      </w:tr>
      <w:tr>
        <w:trPr>
          <w:cantSplit/>
        </w:trPr>
        <w:tc>
          <w:tcPr>
            <w:tcW w:type="dxa" w:w="66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Total</w:t>
            </w:r>
          </w:p>
        </w:tc>
        <w:tc>
          <w:tcPr>
            <w:tcW w:type="dxa" w:w="27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8"/>
                <w:lang w:val="fr-FR" w:eastAsia="fr-FR" w:bidi="fr-FR"/>
              </w:rPr>
              <w:t>268</w:t>
            </w:r>
          </w:p>
        </w:tc>
      </w:tr>
    </w:tbl>
    <w:p>
      <w:pPr>
        <w:spacing w:after="20"/>
      </w:pPr>
    </w:p>
    <w:p>
      <w:pPr>
        <w:keepLines w:val="0"/>
      </w:pPr>
      <w:r>
        <w:rPr>
          <w:rFonts w:ascii="Calibri" w:hAnsi="Calibri" w:cs="Calibri"/>
          <w:b w:val="0"/>
          <w:i/>
          <w:color w:val="667085"/>
          <w:sz w:val="18"/>
          <w:lang w:val="fr-FR" w:eastAsia="fr-FR" w:bidi="fr-FR"/>
        </w:rPr>
        <w:t>Le nombre de gestionnaires représente les enregistrements de méthodes HTTP au niveau du code source. Il mesure la surface, et non le nombre de contrats API publics stables. Le fichier OpenAPI manuel documente 158 opérations, soit environ 59 % de ce total d'exécution.</w:t>
      </w:r>
    </w:p>
    <w:p>
      <w:pPr>
        <w:pStyle w:val="Heading1"/>
      </w:pPr>
      <w:r>
        <w:rPr>
          <w:lang w:val="fr-FR" w:eastAsia="fr-FR" w:bidi="fr-FR"/>
        </w:rPr>
        <w:t>Annexe D — Catégories d'environnement et de configuration</w:t>
      </w:r>
    </w:p>
    <w:p>
      <w:pPr>
        <w:keepLines w:val="0"/>
      </w:pPr>
      <w:r>
        <w:rPr>
          <w:rFonts w:ascii="Calibri" w:hAnsi="Calibri" w:cs="Calibri"/>
          <w:b w:val="0"/>
          <w:i w:val="0"/>
          <w:lang w:val="fr-FR" w:eastAsia="fr-FR" w:bidi="fr-FR"/>
        </w:rPr>
        <w:t>L'implémentation lit un large ensemble de variables d'environnement. Leurs valeurs sont volontairement exclues du présent rapport. Le contrat de configuration de production doit être centralisé, typé, validé au démarrage et séparé selon la propriété secrète ou non secrète.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700"/>
        <w:gridCol w:w="7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Catégorie</w:t>
            </w:r>
          </w:p>
        </w:tc>
        <w:tc>
          <w:tcPr>
            <w:tcW w:type="dxa" w:w="76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7"/>
                <w:lang w:val="fr-FR" w:eastAsia="fr-FR" w:bidi="fr-FR"/>
              </w:rPr>
              <w:t>Exemples de responsabilité de configuration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Runtime central</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Environnement Node, ports, URL de base publiques/applications/API, proxy/origines de confiance</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Identité</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Politique secret/émetteur/audience JWT, noms/domaines des cookies, paramètres de session administrateur/employé/locataire</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Données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Connexion PostgreSQL, comportement Prisma, connexion Redis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Fichiers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Racine de stockage, comportement des chemins publics/privés, limites de téléversement</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Paiements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Clés/secrets Stripe, PayPal, AmanPay, secrets webhook, URL de retour/annulation</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E-mail</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Clé/expéditeur Resend, hôte/port/utilisateur/mot de passe/expéditeur SMTP</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Temps réel/tâches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Canaux Redis, bascules/planifications cron lorsqu'elles sont configurables</w:t>
            </w:r>
          </w:p>
        </w:tc>
      </w:tr>
      <w:tr>
        <w:trPr>
          <w:cantSplit/>
        </w:trPr>
        <w:tc>
          <w:tcPr>
            <w:tcW w:type="dxa" w:w="17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Administration/opérations</w:t>
            </w:r>
          </w:p>
        </w:tc>
        <w:tc>
          <w:tcPr>
            <w:tcW w:type="dxa" w:w="76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7"/>
                <w:lang w:val="fr-FR" w:eastAsia="fr-FR" w:bidi="fr-FR"/>
              </w:rPr>
              <w:t>Activation de Swagger, paramètres de journaux, paramètres d'amorçage/plan de contrôle</w:t>
            </w:r>
          </w:p>
        </w:tc>
      </w:tr>
    </w:tbl>
    <w:p>
      <w:pPr>
        <w:spacing w:after="20"/>
      </w:pPr>
    </w:p>
    <w:p>
      <w:pPr>
        <w:pStyle w:val="Heading1"/>
      </w:pPr>
      <w:r>
        <w:rPr>
          <w:lang w:val="fr-FR" w:eastAsia="fr-FR" w:bidi="fr-FR"/>
        </w:rPr>
        <w:t>Annexe E — Index des preuves</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tblPr>
      <w:tblGrid>
        <w:gridCol w:w="1900"/>
        <w:gridCol w:w="74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Zone de preuve</w:t>
            </w:r>
          </w:p>
        </w:tc>
        <w:tc>
          <w:tcPr>
            <w:tcW w:type="dxa" w:w="7460"/>
            <w:tcMar>
              <w:top w:w="80" w:type="dxa"/>
              <w:start w:w="120" w:type="dxa"/>
              <w:bottom w:w="80" w:type="dxa"/>
              <w:end w:w="120" w:type="dxa"/>
            </w:tcMar>
            <w:shd w:fill="F2F4F7"/>
            <w:vAlign w:val="center"/>
          </w:tcPr>
          <w:p>
            <w:pPr>
              <w:spacing w:before="0" w:after="0" w:line="252" w:lineRule="auto"/>
            </w:pPr>
            <w:r>
              <w:rPr>
                <w:lang w:val="fr-FR" w:eastAsia="fr-FR" w:bidi="fr-FR"/>
              </w:rPr>
            </w:r>
            <w:r>
              <w:rPr>
                <w:rFonts w:ascii="Calibri" w:hAnsi="Calibri" w:cs="Calibri"/>
                <w:b/>
                <w:color w:val="0B2545"/>
                <w:sz w:val="16"/>
                <w:lang w:val="fr-FR" w:eastAsia="fr-FR" w:bidi="fr-FR"/>
              </w:rPr>
              <w:t>Chemins représentatifs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Monorepo et scripts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package.json; apps/*/package.json; packages/*/package.json</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Routage front-end</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apps/homepage/next.config.*; apps/dashboard/next.config.*; apps/admin/next.config.*; apps/carplace/next.config.*</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Initialisation de l'API</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apps/api/src/app.ts; apps/api/src/index.ts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Modules API</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apps/api/src/modules/**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Authentification et middleware</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apps/api/src/middleware/**; apps/api/src/modules/auth/**; apps/api/src/modules/admin/**</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Base de données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packages/database/prisma/schema.prisma; packages/database/prisma/migrations/**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Contrats/prix partagés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packages/types/src/**</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Paiements/webhooks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apps/api/src/modules/payments/** ; apps/api/src/modules/webhooks/** ; code fournisseur de facturation/abonnement</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Notifications/temps réel</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apps/api/src/modules/notifications/** ; initialisation Socket.IO/Redis dans apps/api/src/index.ts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Stockage/téléversements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Routes/services de stockage dans les sources apps/api et middleware de validation des téléversements</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Fonction conteneur</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Service de conteneurs apps/api ; interface admin des conteneurs ; migration placeholder ; schéma Prisma</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OpenAPI</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Définition OpenAPI/Swagger dans les sources apps/api</w:t>
            </w:r>
          </w:p>
        </w:tc>
      </w:tr>
      <w:tr>
        <w:trPr>
          <w:cantSplit/>
        </w:trPr>
        <w:tc>
          <w:tcPr>
            <w:tcW w:type="dxa" w:w="190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Tests</w:t>
            </w:r>
          </w:p>
        </w:tc>
        <w:tc>
          <w:tcPr>
            <w:tcW w:type="dxa" w:w="7460"/>
            <w:vAlign w:val="center"/>
            <w:tcMar>
              <w:top w:w="80" w:type="dxa"/>
              <w:start w:w="120" w:type="dxa"/>
              <w:bottom w:w="80" w:type="dxa"/>
              <w:end w:w="120" w:type="dxa"/>
            </w:tcMar>
          </w:tcPr>
          <w:p>
            <w:pPr>
              <w:spacing w:before="0" w:after="0" w:line="252" w:lineRule="auto"/>
            </w:pPr>
            <w:r>
              <w:rPr>
                <w:lang w:val="fr-FR" w:eastAsia="fr-FR" w:bidi="fr-FR"/>
              </w:rPr>
            </w:r>
            <w:r>
              <w:rPr>
                <w:rFonts w:ascii="Calibri" w:hAnsi="Calibri" w:cs="Calibri"/>
                <w:b w:val="0"/>
                <w:color w:val="101828"/>
                <w:sz w:val="16"/>
                <w:lang w:val="fr-FR" w:eastAsia="fr-FR" w:bidi="fr-FR"/>
              </w:rPr>
              <w:t>Fichiers de tests apps/* et configurations Vitest/Playwright</w:t>
            </w:r>
          </w:p>
        </w:tc>
      </w:tr>
    </w:tbl>
    <w:p>
      <w:pPr>
        <w:spacing w:after="20"/>
      </w:pPr>
    </w:p>
    <w:p>
      <w:pPr>
        <w:pStyle w:val="Heading1"/>
      </w:pPr>
      <w:r>
        <w:rPr>
          <w:lang w:val="fr-FR" w:eastAsia="fr-FR" w:bidi="fr-FR"/>
        </w:rPr>
        <w:t>Annexe F — Prochain point de contrôle de diligence</w:t>
      </w:r>
    </w:p>
    <w:p>
      <w:pPr>
        <w:keepLines/>
        <w:numPr>
          <w:ilvl w:val="0"/>
          <w:numId w:val="10"/>
        </w:numPr>
        <w:spacing w:after="160" w:line="280" w:lineRule="auto"/>
      </w:pPr>
      <w:r>
        <w:rPr>
          <w:rFonts w:ascii="Calibri" w:hAnsi="Calibri" w:cs="Calibri"/>
          <w:lang w:val="fr-FR" w:eastAsia="fr-FR" w:bidi="fr-FR"/>
        </w:rPr>
        <w:t>Un checkout propre se construit et se teste avec les versions Node/npm documentées, sans réparation locale.</w:t>
      </w:r>
    </w:p>
    <w:p>
      <w:pPr>
        <w:keepLines/>
        <w:numPr>
          <w:ilvl w:val="0"/>
          <w:numId w:val="10"/>
        </w:numPr>
        <w:spacing w:after="160" w:line="280" w:lineRule="auto"/>
      </w:pPr>
      <w:r>
        <w:rPr>
          <w:rFonts w:ascii="Calibri" w:hAnsi="Calibri" w:cs="Calibri"/>
          <w:lang w:val="fr-FR" w:eastAsia="fr-FR" w:bidi="fr-FR"/>
        </w:rPr>
        <w:t>L'analyse des dépendances de production ne présente aucun constat critique/élevé non résolu en dehors d'une exception formellement approuvée et limitée dans le temps.</w:t>
      </w:r>
    </w:p>
    <w:p>
      <w:pPr>
        <w:keepLines/>
        <w:numPr>
          <w:ilvl w:val="0"/>
          <w:numId w:val="10"/>
        </w:numPr>
        <w:spacing w:after="160" w:line="280" w:lineRule="auto"/>
      </w:pPr>
      <w:r>
        <w:rPr>
          <w:rFonts w:ascii="Calibri" w:hAnsi="Calibri" w:cs="Calibri"/>
          <w:lang w:val="fr-FR" w:eastAsia="fr-FR" w:bidi="fr-FR"/>
        </w:rPr>
        <w:t>Deux répliques de l'API réussissent les tests de correction des réservations, paiements, tâches, notifications et fichiers à l'aide d'une coordination partagée et d'un stockage durable.</w:t>
      </w:r>
    </w:p>
    <w:p>
      <w:pPr>
        <w:keepLines/>
        <w:numPr>
          <w:ilvl w:val="0"/>
          <w:numId w:val="10"/>
        </w:numPr>
        <w:spacing w:after="160" w:line="280" w:lineRule="auto"/>
      </w:pPr>
      <w:r>
        <w:rPr>
          <w:rFonts w:ascii="Calibri" w:hAnsi="Calibri" w:cs="Calibri"/>
          <w:lang w:val="fr-FR" w:eastAsia="fr-FR" w:bidi="fr-FR"/>
        </w:rPr>
        <w:t>Toutes les routes publiques et privilégiées figurent dans un contrat API faisant autorité et une matrice de tests d'autorisation.</w:t>
      </w:r>
    </w:p>
    <w:p>
      <w:pPr>
        <w:keepLines/>
        <w:numPr>
          <w:ilvl w:val="0"/>
          <w:numId w:val="10"/>
        </w:numPr>
        <w:spacing w:after="160" w:line="280" w:lineRule="auto"/>
      </w:pPr>
      <w:r>
        <w:rPr>
          <w:rFonts w:ascii="Calibri" w:hAnsi="Calibri" w:cs="Calibri"/>
          <w:lang w:val="fr-FR" w:eastAsia="fr-FR" w:bidi="fr-FR"/>
        </w:rPr>
        <w:t>Un exercice de restauration prouve la récupération de la base et des objets dans les RPO/RTO approuvés ; les preuves sont conservées.</w:t>
      </w:r>
    </w:p>
    <w:p>
      <w:pPr>
        <w:keepLines/>
        <w:numPr>
          <w:ilvl w:val="0"/>
          <w:numId w:val="10"/>
        </w:numPr>
        <w:spacing w:after="160" w:line="280" w:lineRule="auto"/>
      </w:pPr>
      <w:r>
        <w:rPr>
          <w:rFonts w:ascii="Calibri" w:hAnsi="Calibri" w:cs="Calibri"/>
          <w:lang w:val="fr-FR" w:eastAsia="fr-FR" w:bidi="fr-FR"/>
        </w:rPr>
        <w:t>Les journaux, métriques, traces, tableaux de bord, alertes et runbooks d'astreinte des chemins critiques sont démontrés lors d'un exercice de panne.</w:t>
      </w:r>
    </w:p>
    <w:p>
      <w:pPr>
        <w:keepLines/>
        <w:numPr>
          <w:ilvl w:val="0"/>
          <w:numId w:val="10"/>
        </w:numPr>
        <w:spacing w:after="160" w:line="280" w:lineRule="auto"/>
      </w:pPr>
      <w:r>
        <w:rPr>
          <w:rFonts w:ascii="Calibri" w:hAnsi="Calibri" w:cs="Calibri"/>
          <w:lang w:val="fr-FR" w:eastAsia="fr-FR" w:bidi="fr-FR"/>
        </w:rPr>
        <w:t>Les contrôles de confidentialité et de données sensibles couvrent la classification, le chiffrement, la conservation/suppression, les lectures privilégiées, les exports et la réponse aux incidents.</w:t>
      </w:r>
    </w:p>
    <w:p>
      <w:pPr>
        <w:keepLines/>
        <w:numPr>
          <w:ilvl w:val="0"/>
          <w:numId w:val="10"/>
        </w:numPr>
        <w:spacing w:after="160" w:line="280" w:lineRule="auto"/>
      </w:pPr>
      <w:r>
        <w:rPr>
          <w:rFonts w:ascii="Calibri" w:hAnsi="Calibri" w:cs="Calibri"/>
          <w:lang w:val="fr-FR" w:eastAsia="fr-FR" w:bidi="fr-FR"/>
        </w:rPr>
        <w:t>Le catalogue commercial des plans, le paiement, la facturation et l'application des droits sont générés depuis une source de vérité unique et contrôlée.</w:t>
      </w:r>
    </w:p>
    <w:p>
      <w:pPr>
        <w:keepLines/>
        <w:numPr>
          <w:ilvl w:val="0"/>
          <w:numId w:val="10"/>
        </w:numPr>
        <w:spacing w:after="160" w:line="280" w:lineRule="auto"/>
      </w:pPr>
      <w:r>
        <w:rPr>
          <w:rFonts w:ascii="Calibri" w:hAnsi="Calibri" w:cs="Calibri"/>
          <w:lang w:val="fr-FR" w:eastAsia="fr-FR" w:bidi="fr-FR"/>
        </w:rPr>
        <w:t>Des tests de sécurité indépendants clôturent tous les constats critiques/élevés ou consignent une acceptation explicite et limitée dans le temps par des responsables identifiés.</w:t>
      </w:r>
    </w:p>
    <w:p>
      <w:pPr>
        <w:keepLines w:val="0"/>
        <w:spacing w:before="480" w:after="0"/>
        <w:jc w:val="center"/>
      </w:pPr>
      <w:r>
        <w:rPr>
          <w:rFonts w:ascii="Calibri" w:hAnsi="Calibri" w:cs="Calibri"/>
          <w:b/>
          <w:i w:val="0"/>
          <w:color w:val="667085"/>
          <w:sz w:val="20"/>
          <w:lang w:val="fr-FR" w:eastAsia="fr-FR" w:bidi="fr-FR"/>
        </w:rPr>
        <w:t>Fin du rapport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Bdr>
        <w:top w:val="single" w:sz="4" w:space="4" w:color="D0D5DD"/>
      </w:pBdr>
    </w:pPr>
    <w:r>
      <w:rPr>
        <w:rFonts w:ascii="Calibri" w:hAnsi="Calibri" w:cs="Calibri"/>
        <w:color w:val="667085"/>
        <w:sz w:val="16"/>
        <w:lang w:val="fr-FR" w:eastAsia="fr-FR" w:bidi="fr-FR"/>
      </w:rPr>
      <w:t xml:space="preserve">CONFIDENTIEL  •  AOÛT 2026    |    </w:t>
    </w:r>
    <w:r>
      <w:rPr>
        <w:lang w:val="fr-FR" w:eastAsia="fr-FR" w:bidi="fr-FR"/>
      </w:rPr>
      <w:fldChar w:fldCharType="begin"/>
      <w:instrText xml:space="preserve">PAGE</w:instrText>
      <w:fldChar w:fldCharType="end"/>
    </w:r>
    <w:r>
      <w:rPr>
        <w:rFonts w:ascii="Calibri" w:hAnsi="Calibri" w:cs="Calibri"/>
        <w:color w:val="667085"/>
        <w:sz w:val="16"/>
        <w:lang w:val="fr-FR" w:eastAsia="fr-FR" w:bidi="fr-FR"/>
      </w:rPr>
      <w:t xml:space="preserve"> / </w:t>
    </w:r>
    <w:r>
      <w:rPr>
        <w:lang w:val="fr-FR" w:eastAsia="fr-FR" w:bidi="fr-FR"/>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4" w:space="4" w:color="D0D5DD"/>
      </w:pBdr>
    </w:pPr>
    <w:r>
      <w:rPr>
        <w:rFonts w:ascii="Calibri" w:hAnsi="Calibri" w:cs="Calibri"/>
        <w:b/>
        <w:color w:val="667085"/>
        <w:sz w:val="17"/>
        <w:lang w:val="fr-FR" w:eastAsia="fr-FR" w:bidi="fr-FR"/>
      </w:rPr>
      <w:t>RENTALDRIVEGO  |  DILIGENCE TECHNIQUE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bullet"/>
      <w:lvlText w:val="•"/>
      <w:lvlJc w:val="left"/>
      <w:pPr>
        <w:tabs>
          <w:tab w:val="num" w:pos="720"/>
        </w:tabs>
        <w:ind w:left="720" w:hanging="360"/>
        <w:spacing w:after="160" w:line="280" w:lineRule="auto"/>
      </w:pPr>
      <w:rPr>
        <w:rFonts w:ascii="Calibri" w:hAnsi="Calibri"/>
      </w:rPr>
    </w:lvl>
    <w:lvl w:ilvl="1">
      <w:start w:val="1"/>
      <w:numFmt w:val="bullet"/>
      <w:lvlText w:val="–"/>
      <w:lvlJc w:val="left"/>
      <w:pPr>
        <w:tabs>
          <w:tab w:val="num" w:pos="1080"/>
        </w:tabs>
        <w:ind w:left="1080" w:hanging="360"/>
        <w:spacing w:after="160" w:line="280" w:lineRule="auto"/>
      </w:pPr>
      <w:rPr>
        <w:rFonts w:ascii="Calibri" w:hAnsi="Calibri"/>
      </w:rPr>
    </w:lvl>
    <w:lvl w:ilvl="2">
      <w:start w:val="1"/>
      <w:numFmt w:val="bullet"/>
      <w:lvlText w:val="–"/>
      <w:lvlJc w:val="left"/>
      <w:pPr>
        <w:tabs>
          <w:tab w:val="num" w:pos="1440"/>
        </w:tabs>
        <w:ind w:left="1440" w:hanging="360"/>
        <w:spacing w:after="160" w:line="280" w:lineRule="auto"/>
      </w:pPr>
      <w:rPr>
        <w:rFonts w:ascii="Calibri" w:hAnsi="Calibri"/>
      </w:rPr>
    </w:lvl>
  </w:abstractNum>
  <w:abstractNum w:abstractNumId="10">
    <w:multiLevelType w:val="multilevel"/>
    <w:lvl w:ilvl="0">
      <w:start w:val="1"/>
      <w:numFmt w:val="decimal"/>
      <w:lvlText w:val="%1."/>
      <w:lvlJc w:val="left"/>
      <w:pPr>
        <w:tabs>
          <w:tab w:val="num" w:pos="720"/>
        </w:tabs>
        <w:ind w:left="720" w:hanging="360"/>
        <w:spacing w:after="160" w:line="280" w:lineRule="auto"/>
      </w:pPr>
    </w:lvl>
    <w:lvl w:ilvl="1">
      <w:start w:val="1"/>
      <w:numFmt w:val="decimal"/>
      <w:lvlText w:val="%2."/>
      <w:lvlJc w:val="left"/>
      <w:pPr>
        <w:tabs>
          <w:tab w:val="num" w:pos="1080"/>
        </w:tabs>
        <w:ind w:left="1080" w:hanging="360"/>
        <w:spacing w:after="160" w:line="280" w:lineRule="auto"/>
      </w:pPr>
    </w:lvl>
    <w:lvl w:ilvl="2">
      <w:start w:val="1"/>
      <w:numFmt w:val="decimal"/>
      <w:lvlText w:val="%3."/>
      <w:lvlJc w:val="left"/>
      <w:pPr>
        <w:tabs>
          <w:tab w:val="num" w:pos="1440"/>
        </w:tabs>
        <w:ind w:left="1440" w:hanging="360"/>
        <w:spacing w:after="160" w:line="280" w:lineRule="auto"/>
      </w:pPr>
    </w:lvl>
  </w:abstract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Calibri" w:hAnsi="Calibri"/>
      <w:b/>
      <w:bCs/>
      <w:i/>
      <w:color w:val="667085"/>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technique et
diligence raisonnable investisseur</dc:title>
  <dc:subject>Architecture, security, operations, scalability, and investment risk assessment</dc:subject>
  <dc:creator>Technical Due Diligence Review</dc:creator>
  <cp:keywords>RentalDriveGo, architecture, investor due diligence, SaaS, security, scalability</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