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val="0"/>
        <w:spacing w:before="2520" w:after="360"/>
        <w:jc w:val="center"/>
        <w:bidi/>
      </w:pPr>
      <w:r>
        <w:rPr>
          <w:rFonts w:ascii="Calibri" w:hAnsi="Calibri" w:cs="Calibri"/>
          <w:b/>
          <w:i w:val="0"/>
          <w:color w:val="7A5A00"/>
          <w:sz w:val="24"/>
          <w:lang w:val="en-US" w:eastAsia="en-US" w:bidi="en-US"/>
        </w:rPr>
        <w:t>‎RENTALDRIVEGO‎</w:t>
      </w:r>
    </w:p>
    <w:p>
      <w:pPr>
        <w:keepLines/>
        <w:spacing w:after="240"/>
        <w:jc w:val="center"/>
        <w:bidi/>
      </w:pPr>
      <w:r>
        <w:rPr>
          <w:rFonts w:ascii="DejaVu Sans" w:hAnsi="DejaVu Sans" w:cs="DejaVu Sans" w:eastAsia="DejaVu Sans"/>
          <w:b/>
          <w:i w:val="0"/>
          <w:color w:val="203748"/>
          <w:sz w:val="60"/>
          <w:lang w:val="ar-MA" w:eastAsia="ar-MA" w:bidi="ar-MA"/>
          <w:rtl/>
        </w:rPr>
        <w:t>البنية التقنية و</w:t>
        <w:br/>
        <w:t>العناية الواجبة للمستثمر</w:t>
      </w:r>
    </w:p>
    <w:p>
      <w:pPr>
        <w:keepLines/>
        <w:spacing w:after="560"/>
        <w:jc w:val="center"/>
        <w:bidi/>
      </w:pPr>
      <w:r>
        <w:rPr>
          <w:rFonts w:ascii="DejaVu Sans" w:hAnsi="DejaVu Sans" w:cs="DejaVu Sans" w:eastAsia="DejaVu Sans"/>
          <w:b w:val="0"/>
          <w:i w:val="0"/>
          <w:color w:val="1F4D78"/>
          <w:sz w:val="30"/>
          <w:lang w:val="ar-MA" w:eastAsia="ar-MA" w:bidi="ar-MA"/>
          <w:rtl/>
        </w:rPr>
        <w:t>تقييم مستند إلى أدلة من الشفرة لنطاق المنتج وتصميم النظام والأمن</w:t>
        <w:br/>
        <w:t>والجاهزية التشغيلية وقابلية التوسع ومخاطر الاستثمار</w:t>
      </w:r>
    </w:p>
    <w:p>
      <w:pPr>
        <w:keepLines w:val="0"/>
        <w:spacing w:after="1720"/>
        <w:jc w:val="center"/>
        <w:bidi/>
      </w:pPr>
      <w:r>
        <w:rPr>
          <w:rFonts w:ascii="DejaVu Sans" w:hAnsi="DejaVu Sans" w:cs="DejaVu Sans" w:eastAsia="DejaVu Sans"/>
          <w:b w:val="0"/>
          <w:i w:val="0"/>
          <w:color w:val="7A5A00"/>
          <w:sz w:val="21"/>
          <w:lang w:val="ar-MA" w:eastAsia="ar-MA" w:bidi="ar-MA"/>
          <w:rtl/>
        </w:rPr>
        <w:t>—  مراجعة الشفرة المصدرية وموجز الاستثمار التقني  —</w:t>
      </w:r>
    </w:p>
    <w:p>
      <w:pPr>
        <w:keepLines w:val="0"/>
        <w:spacing w:after="100"/>
        <w:jc w:val="center"/>
        <w:bidi/>
      </w:pPr>
      <w:r>
        <w:rPr>
          <w:rFonts w:ascii="DejaVu Sans" w:hAnsi="DejaVu Sans" w:cs="DejaVu Sans" w:eastAsia="DejaVu Sans"/>
          <w:b/>
          <w:i w:val="0"/>
          <w:color w:val="203748"/>
          <w:sz w:val="24"/>
          <w:lang w:val="ar-MA" w:eastAsia="ar-MA" w:bidi="ar-MA"/>
          <w:rtl/>
        </w:rPr>
        <w:t>الإصدار 1.0  •  9 أغسطس 2026</w:t>
      </w:r>
    </w:p>
    <w:p>
      <w:pPr>
        <w:keepLines w:val="0"/>
        <w:spacing w:after="160"/>
        <w:jc w:val="center"/>
        <w:bidi/>
      </w:pPr>
      <w:r>
        <w:rPr>
          <w:rFonts w:ascii="DejaVu Sans" w:hAnsi="DejaVu Sans" w:cs="DejaVu Sans" w:eastAsia="DejaVu Sans"/>
          <w:b w:val="0"/>
          <w:i/>
          <w:color w:val="667085"/>
          <w:sz w:val="19"/>
          <w:lang w:val="ar-MA" w:eastAsia="ar-MA" w:bidi="ar-MA"/>
          <w:rtl/>
        </w:rPr>
        <w:t>أُعدّ استناداً إلى أرشيف المصدر car_management المقدّم</w:t>
      </w:r>
    </w:p>
    <w:p>
      <w:pPr>
        <w:keepLines w:val="0"/>
        <w:spacing w:after="0"/>
        <w:jc w:val="center"/>
        <w:bidi/>
      </w:pPr>
      <w:r>
        <w:rPr>
          <w:rFonts w:ascii="DejaVu Sans" w:hAnsi="DejaVu Sans" w:cs="DejaVu Sans" w:eastAsia="DejaVu Sans"/>
          <w:b/>
          <w:i w:val="0"/>
          <w:color w:val="9B1C1C"/>
          <w:sz w:val="18"/>
          <w:lang w:val="ar-MA" w:eastAsia="ar-MA" w:bidi="ar-MA"/>
          <w:rtl/>
        </w:rPr>
        <w:t>سري</w:t>
      </w:r>
    </w:p>
    <w:p>
      <w:pPr>
        <w:bidi/>
        <w:jc w:val="right"/>
      </w:pPr>
      <w:r>
        <w:rPr>
          <w:lang w:val="en-US" w:eastAsia="en-US" w:bidi="en-US"/>
        </w:rPr>
        <w:br w:type="page"/>
      </w:r>
    </w:p>
    <w:p>
      <w:pPr>
        <w:pStyle w:val="Heading1"/>
        <w:bidi/>
        <w:jc w:val="right"/>
      </w:pPr>
      <w:r>
        <w:rPr>
          <w:rFonts w:ascii="DejaVu Sans" w:hAnsi="DejaVu Sans" w:cs="DejaVu Sans" w:eastAsia="DejaVu Sans"/>
          <w:lang w:val="ar-MA" w:eastAsia="ar-MA" w:bidi="ar-MA"/>
          <w:rtl/>
        </w:rPr>
        <w:t>التقييم التنفيذي</w:t>
      </w:r>
    </w:p>
    <w:p>
      <w:pPr>
        <w:keepLines/>
        <w:spacing w:before="100" w:after="200"/>
        <w:ind w:left="173" w:right="115"/>
        <w:shd w:fill="FFF6D8"/>
        <w:pBdr>
          <w:left w:val="single" w:sz="20" w:space="8" w:color="7A5A00"/>
        </w:pBdr>
        <w:bidi/>
        <w:jc w:val="right"/>
      </w:pPr>
      <w:r>
        <w:rPr>
          <w:rFonts w:ascii="DejaVu Sans" w:hAnsi="DejaVu Sans" w:cs="DejaVu Sans" w:eastAsia="DejaVu Sans"/>
          <w:b/>
          <w:color w:val="7A5A00"/>
          <w:lang w:val="ar-MA" w:eastAsia="ar-MA" w:bidi="ar-MA"/>
          <w:rtl/>
        </w:rPr>
        <w:t xml:space="preserve">الخلاصة  </w:t>
      </w:r>
      <w:r>
        <w:rPr>
          <w:rFonts w:ascii="DejaVu Sans" w:hAnsi="DejaVu Sans" w:cs="DejaVu Sans" w:eastAsia="DejaVu Sans"/>
          <w:color w:val="101828"/>
          <w:lang w:val="ar-MA" w:eastAsia="ar-MA" w:bidi="ar-MA"/>
          <w:rtl/>
        </w:rPr>
        <w:t>RentalDriveGo منصة جادة في مرحلة ما قبل التوسع: مستودع أحادي متعدد التطبيقات يغطي نطاقاً واسعاً لإدارة التأجير موجهاً إلى السوق المغربية، مع واجهة API معيارية ونموذج علائقي ناضج وضوابط أمنية ذات قيمة. لكن الحزمة المقدمة ليست جاهزة حالياً لعناية واجبة على مستوى الإنتاج، لأن إطار البناء والنشر غير مكتمل، ومخاطر الاعتماديات جوهرية، ولأن عدة أنظمة فرعية حاسمة للتوسع إما محلية داخل العملية أو غير مكتملة أو غير مثبتة بالأدلة.</w:t>
      </w:r>
    </w:p>
    <w:p>
      <w:pPr>
        <w:keepLines w:val="0"/>
        <w:bidi/>
        <w:jc w:val="right"/>
      </w:pPr>
      <w:r>
        <w:rPr>
          <w:rFonts w:ascii="DejaVu Sans" w:hAnsi="DejaVu Sans" w:cs="DejaVu Sans" w:eastAsia="DejaVu Sans"/>
          <w:b w:val="0"/>
          <w:i w:val="0"/>
          <w:lang w:val="ar-MA" w:eastAsia="ar-MA" w:bidi="ar-MA"/>
          <w:rtl/>
        </w:rPr>
        <w:t>تُظهر الشفرة عمقاً في المنتج يتجاوز نموذجاً أولياً اعتيادياً في مرحلة مبكرة. فهي تضم خمسة تطبيقات ويب، وواجهة API من 21 وحدة، و67 نموذج قاعدة بيانات، و49 مجلد ترحيل، و268 معالج مسار وقت التشغيل، وواجهات بثلاث لغات، ومصادقة لعدة فئات من المستخدمين، ومنطق فوترة واشتراكات، وتدفقات سوق عامة، وتكاملات مع ثلاث عائلات للدفع. وهذه قاعدة منتج موثوقة.</w:t>
      </w:r>
    </w:p>
    <w:p>
      <w:pPr>
        <w:keepLines w:val="0"/>
        <w:bidi/>
        <w:jc w:val="right"/>
      </w:pPr>
      <w:r>
        <w:rPr>
          <w:rFonts w:ascii="DejaVu Sans" w:hAnsi="DejaVu Sans" w:cs="DejaVu Sans" w:eastAsia="DejaVu Sans"/>
          <w:b w:val="0"/>
          <w:i w:val="0"/>
          <w:lang w:val="ar-MA" w:eastAsia="ar-MA" w:bidi="ar-MA"/>
          <w:rtl/>
        </w:rPr>
        <w:t>لذلك لا ينبغي صياغة حالة الاستثمار على أن «البرنامج مكتمل». الصياغة الدقيقة هي: جوهر المنتج وبنية البيانات موجودان، أما محطة رأس المال التالية فهي تحويل هذا الاتساع إلى نظام إنتاج قابل لإعادة البناء، وآمن، وقابل للرصد، وسليم عند التوسع الأفقي. وأهم مسألة في العناية الواجبة هي الفصل بين اتساع الخصائص المرئية والجاهزية التشغيلية القابلة للنشر.</w:t>
      </w:r>
    </w:p>
    <w:p>
      <w:pPr>
        <w:pStyle w:val="Heading2"/>
        <w:bidi/>
        <w:jc w:val="right"/>
      </w:pPr>
      <w:r>
        <w:rPr>
          <w:rFonts w:ascii="DejaVu Sans" w:hAnsi="DejaVu Sans" w:cs="DejaVu Sans" w:eastAsia="DejaVu Sans"/>
          <w:lang w:val="ar-MA" w:eastAsia="ar-MA" w:bidi="ar-MA"/>
          <w:rtl/>
        </w:rPr>
        <w:t>القراءة الاستثمارية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650"/>
        <w:gridCol w:w="1450"/>
        <w:gridCol w:w="6260"/>
      </w:tblGrid>
      <w:tr>
        <w:trPr>
          <w:tblHeader w:val="true"/>
          <w:cantSplit/>
        </w:trPr>
        <w:tc>
          <w:tcPr>
            <w:tcW w:type="dxa" w:w="16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البعد</w:t>
            </w:r>
          </w:p>
        </w:tc>
        <w:tc>
          <w:tcPr>
            <w:tcW w:type="dxa" w:w="14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التقييم</w:t>
            </w:r>
          </w:p>
        </w:tc>
        <w:tc>
          <w:tcPr>
            <w:tcW w:type="dxa" w:w="62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تفسير المستثمر</w:t>
            </w:r>
          </w:p>
        </w:tc>
      </w:tr>
      <w:tr>
        <w:trPr>
          <w:cantSplit/>
        </w:trPr>
        <w:tc>
          <w:tcPr>
            <w:tcW w:type="dxa" w:w="1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اتساع المنتج</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قوي</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تغطي خمسة سطوح مستقلة الاستحواذ والسوق وعمليات المستأجر وإدارة المنصة وتدفقات API.</w:t>
            </w:r>
          </w:p>
        </w:tc>
      </w:tr>
      <w:tr>
        <w:trPr>
          <w:cantSplit/>
        </w:trPr>
        <w:tc>
          <w:tcPr>
            <w:tcW w:type="dxa" w:w="1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عمق المجال</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قوي</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يُمثل الأسطول والحجوزات والعملاء والعقود والتسعير والتأمين والأضرار والشكاوى والمراجعات والفوترة والإشعارات في الشفرة والبيانات.</w:t>
            </w:r>
          </w:p>
        </w:tc>
      </w:tr>
      <w:tr>
        <w:trPr>
          <w:cantSplit/>
        </w:trPr>
        <w:tc>
          <w:tcPr>
            <w:tcW w:type="dxa" w:w="1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اتساق البنية</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متوسط</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نمط البنية الأحادية المعيارية مناسب، لكن الاهتمامات المشتركة مكررة وتتعايش عدة مسارات قديمة/جديدة.</w:t>
            </w:r>
          </w:p>
        </w:tc>
      </w:tr>
      <w:tr>
        <w:trPr>
          <w:cantSplit/>
        </w:trPr>
        <w:tc>
          <w:tcPr>
            <w:tcW w:type="dxa" w:w="1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تصميم الأمن</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متوسط إلى قوي</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بوابات المستأجر وفحوص الأدوار وCSRF و2FA والتحقق من الرفع وخطافات الويب والتخزين الخاص موجودة فعلاً؛ لكن الحوكمة ونظافة الاعتماديات متأخرتان.</w:t>
            </w:r>
          </w:p>
        </w:tc>
      </w:tr>
      <w:tr>
        <w:trPr>
          <w:cantSplit/>
        </w:trPr>
        <w:tc>
          <w:tcPr>
            <w:tcW w:type="dxa" w:w="1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قابلية إعادة إنتاج التسليم</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ضعيف في الحزمة</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تُذكر آثار Turbo وقاعدة TypeScript والبرامج النصية وCompose والنسخ الاحتياطي وتهيئة الإدارة المطلوبة لكنها غائبة.</w:t>
            </w:r>
          </w:p>
        </w:tc>
      </w:tr>
      <w:tr>
        <w:trPr>
          <w:cantSplit/>
        </w:trPr>
        <w:tc>
          <w:tcPr>
            <w:tcW w:type="dxa" w:w="1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الجاهزية للتوسع</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مبكر</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يقيد التخزين المحلي والحدود/عدم التكرار المدعومان بالذاكرة ومهام cron المضمنة وغياب عامل صندوق الصادر التوسع الأفقي الآمن.</w:t>
            </w:r>
          </w:p>
        </w:tc>
      </w:tr>
      <w:tr>
        <w:trPr>
          <w:cantSplit/>
        </w:trPr>
        <w:tc>
          <w:tcPr>
            <w:tcW w:type="dxa" w:w="1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النضج التشغيلي</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مبكر</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لم تُقدم أدلة كاملة على CI أو المقاييس أو التتبع أو SLO أو الجاهزية أو الإيقاف السلس أو التعافي المختبر من الكوارث.</w:t>
            </w:r>
          </w:p>
        </w:tc>
      </w:tr>
    </w:tbl>
    <w:p>
      <w:pPr>
        <w:spacing w:after="20"/>
        <w:bidi/>
        <w:jc w:val="right"/>
      </w:pPr>
    </w:p>
    <w:p>
      <w:pPr>
        <w:spacing w:before="80" w:after="80"/>
        <w:bidi/>
        <w:jc w:val="right"/>
      </w:pPr>
      <w:r>
        <w:rPr>
          <w:rFonts w:ascii="DejaVu Sans" w:hAnsi="DejaVu Sans" w:cs="DejaVu Sans" w:eastAsia="DejaVu Sans"/>
          <w:i/>
          <w:color w:val="667085"/>
          <w:sz w:val="17"/>
          <w:lang w:val="ar-MA" w:eastAsia="ar-MA" w:bidi="ar-MA"/>
          <w:rtl/>
        </w:rPr>
        <w:t>الأدلة: بيانات المستودع، ومصدر التطبيقات، ومخطط Prisma وعمليات الترحيل، وجرد المسارات، والفحوص الساكنة، وتدقيق الاعتماديات المنفذ في 9 أغسطس 2026.</w:t>
      </w:r>
    </w:p>
    <w:p>
      <w:pPr>
        <w:pStyle w:val="Heading2"/>
        <w:bidi/>
        <w:jc w:val="right"/>
      </w:pPr>
      <w:r>
        <w:rPr>
          <w:rFonts w:ascii="DejaVu Sans" w:hAnsi="DejaVu Sans" w:cs="DejaVu Sans" w:eastAsia="DejaVu Sans"/>
          <w:lang w:val="ar-MA" w:eastAsia="ar-MA" w:bidi="ar-MA"/>
          <w:rtl/>
        </w:rPr>
        <w:t>التوصية</w:t>
      </w:r>
    </w:p>
    <w:p>
      <w:pPr>
        <w:keepLines/>
        <w:numPr>
          <w:ilvl w:val="0"/>
          <w:numId w:val="10"/>
        </w:numPr>
        <w:spacing w:after="160" w:line="280" w:lineRule="auto"/>
        <w:bidi/>
        <w:jc w:val="right"/>
      </w:pPr>
      <w:r>
        <w:rPr>
          <w:rFonts w:ascii="DejaVu Sans" w:hAnsi="DejaVu Sans" w:cs="DejaVu Sans" w:eastAsia="DejaVu Sans"/>
          <w:lang w:val="ar-MA" w:eastAsia="ar-MA" w:bidi="ar-MA"/>
          <w:rtl/>
        </w:rPr>
        <w:t>تعاملوا مع الأصل الحالي بوصفه إصداراً تجريبياً قادراً / منصة ما قبل التوسع، لا بوصفه بيئة SaaS محصنة للإنتاج.</w:t>
      </w:r>
    </w:p>
    <w:p>
      <w:pPr>
        <w:keepLines/>
        <w:numPr>
          <w:ilvl w:val="0"/>
          <w:numId w:val="10"/>
        </w:numPr>
        <w:spacing w:after="160" w:line="280" w:lineRule="auto"/>
        <w:bidi/>
        <w:jc w:val="right"/>
      </w:pPr>
      <w:r>
        <w:rPr>
          <w:rFonts w:ascii="DejaVu Sans" w:hAnsi="DejaVu Sans" w:cs="DejaVu Sans" w:eastAsia="DejaVu Sans"/>
          <w:lang w:val="ar-MA" w:eastAsia="ar-MA" w:bidi="ar-MA"/>
          <w:rtl/>
        </w:rPr>
        <w:t>اربطوا أي ادعاء بالإنتاج أو التوسع ببوابة قصيرة للتحصين التقني: بناء CI قابل لإعادة الإنتاج، ووضع اعتماديات سليم، وبنية تحتية مشتركة للحالة، واستكمال عمال الخلفية، وأدلة الاستعادة.</w:t>
      </w:r>
    </w:p>
    <w:p>
      <w:pPr>
        <w:keepLines/>
        <w:numPr>
          <w:ilvl w:val="0"/>
          <w:numId w:val="10"/>
        </w:numPr>
        <w:spacing w:after="160" w:line="280" w:lineRule="auto"/>
        <w:bidi/>
        <w:jc w:val="right"/>
      </w:pPr>
      <w:r>
        <w:rPr>
          <w:rFonts w:ascii="DejaVu Sans" w:hAnsi="DejaVu Sans" w:cs="DejaVu Sans" w:eastAsia="DejaVu Sans"/>
          <w:lang w:val="ar-MA" w:eastAsia="ar-MA" w:bidi="ar-MA"/>
          <w:rtl/>
        </w:rPr>
        <w:t>حافظوا على البنية الأحادية المعيارية حالياً. فتقسيم الخدمات قبل تصحيح الأسس التشغيلية سيزيد تكلفة التنسيق من دون إزالة الاختناقات الحالية.</w:t>
      </w:r>
    </w:p>
    <w:p>
      <w:pPr>
        <w:keepLines/>
        <w:numPr>
          <w:ilvl w:val="0"/>
          <w:numId w:val="10"/>
        </w:numPr>
        <w:spacing w:after="160" w:line="280" w:lineRule="auto"/>
        <w:bidi/>
        <w:jc w:val="right"/>
      </w:pPr>
      <w:r>
        <w:rPr>
          <w:rFonts w:ascii="DejaVu Sans" w:hAnsi="DejaVu Sans" w:cs="DejaVu Sans" w:eastAsia="DejaVu Sans"/>
          <w:lang w:val="ar-MA" w:eastAsia="ar-MA" w:bidi="ar-MA"/>
          <w:rtl/>
        </w:rPr>
        <w:t>موّلوا برنامج جاهزية للإنتاج لمدة 90 يوماً بمعايير خروج صريحة قائمة على الأدلة، ثم أعيدوا تقييم فصل الخدمات فقط على أساس الحمل المقاس والحدود التنظيمية.</w:t>
      </w:r>
    </w:p>
    <w:p>
      <w:pPr>
        <w:pStyle w:val="Heading2"/>
        <w:bidi/>
        <w:jc w:val="right"/>
      </w:pPr>
      <w:r>
        <w:rPr>
          <w:rFonts w:ascii="DejaVu Sans" w:hAnsi="DejaVu Sans" w:cs="DejaVu Sans" w:eastAsia="DejaVu Sans"/>
          <w:lang w:val="ar-MA" w:eastAsia="ar-MA" w:bidi="ar-MA"/>
          <w:rtl/>
        </w:rPr>
        <w:t>ملخص النتائج الجوهرية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700"/>
        <w:gridCol w:w="4550"/>
        <w:gridCol w:w="4110"/>
      </w:tblGrid>
      <w:tr>
        <w:trPr>
          <w:tblHeader w:val="true"/>
          <w:cantSplit/>
        </w:trPr>
        <w:tc>
          <w:tcPr>
            <w:tcW w:type="dxa" w:w="7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الأولوية</w:t>
            </w:r>
          </w:p>
        </w:tc>
        <w:tc>
          <w:tcPr>
            <w:tcW w:type="dxa" w:w="45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النتيجة</w:t>
            </w:r>
          </w:p>
        </w:tc>
        <w:tc>
          <w:tcPr>
            <w:tcW w:type="dxa" w:w="411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لماذا يهم</w:t>
            </w:r>
          </w:p>
        </w:tc>
      </w:tr>
      <w:tr>
        <w:trPr>
          <w:cantSplit/>
        </w:trPr>
        <w:tc>
          <w:tcPr>
            <w:tcW w:type="dxa" w:w="7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‎P0‎</w:t>
            </w:r>
          </w:p>
        </w:tc>
        <w:tc>
          <w:tcPr>
            <w:tcW w:type="dxa" w:w="45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لا يستطيع الأرشيف تنفيذ مسار البناء/فحص الأنواع المعلن للمستودع الأحادي لغياب turbo.json وtsconfig.base.json.</w:t>
            </w:r>
          </w:p>
        </w:tc>
        <w:tc>
          <w:tcPr>
            <w:tcW w:type="dxa" w:w="411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لا يستطيع المشتري إعادة إنتاج القطعة المسلمة أو التصديق عليها.</w:t>
            </w:r>
          </w:p>
        </w:tc>
      </w:tr>
      <w:tr>
        <w:trPr>
          <w:cantSplit/>
        </w:trPr>
        <w:tc>
          <w:tcPr>
            <w:tcW w:type="dxa" w:w="7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‎P0‎</w:t>
            </w:r>
          </w:p>
        </w:tc>
        <w:tc>
          <w:tcPr>
            <w:tcW w:type="dxa" w:w="45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أبلغ تدقيق حالي لاعتماديات الإنتاج عن 21 ثغرة: 1 حرجة و14 عالية و5 متوسطة و1 منخفضة.</w:t>
            </w:r>
          </w:p>
        </w:tc>
        <w:tc>
          <w:tcPr>
            <w:tcW w:type="dxa" w:w="411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التعرض الأمني واحتكاك العناية الواجبة فوريان.</w:t>
            </w:r>
          </w:p>
        </w:tc>
      </w:tr>
      <w:tr>
        <w:trPr>
          <w:cantSplit/>
        </w:trPr>
        <w:tc>
          <w:tcPr>
            <w:tcW w:type="dxa" w:w="7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‎P0‎</w:t>
            </w:r>
          </w:p>
        </w:tc>
        <w:tc>
          <w:tcPr>
            <w:tcW w:type="dxa" w:w="45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تتوقع شفرة تنسيق الحاويات لكل مستأجر نموذج قاعدة بيانات وسطح API غير موجودين؛ والترحيل عنصر نائب.</w:t>
            </w:r>
          </w:p>
        </w:tc>
        <w:tc>
          <w:tcPr>
            <w:tcW w:type="dxa" w:w="411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القدرة غير وظيفية وحد الثقة المقصود لوصلة Docker سيكون ذا امتياز عالٍ.</w:t>
            </w:r>
          </w:p>
        </w:tc>
      </w:tr>
      <w:tr>
        <w:trPr>
          <w:cantSplit/>
        </w:trPr>
        <w:tc>
          <w:tcPr>
            <w:tcW w:type="dxa" w:w="7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‎P1‎</w:t>
            </w:r>
          </w:p>
        </w:tc>
        <w:tc>
          <w:tcPr>
            <w:tcW w:type="dxa" w:w="45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نُمذج صندوق صادر دائم للإشعارات وتُكتب إليه البيانات، لكن لم يُعثر على موزع/عامل.</w:t>
            </w:r>
          </w:p>
        </w:tc>
        <w:tc>
          <w:tcPr>
            <w:tcW w:type="dxa" w:w="411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قد تتراكم سجلات التسليم من دون تسليم المزود أو بث فوري.</w:t>
            </w:r>
          </w:p>
        </w:tc>
      </w:tr>
      <w:tr>
        <w:trPr>
          <w:cantSplit/>
        </w:trPr>
        <w:tc>
          <w:tcPr>
            <w:tcW w:type="dxa" w:w="7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‎P1‎</w:t>
            </w:r>
          </w:p>
        </w:tc>
        <w:tc>
          <w:tcPr>
            <w:tcW w:type="dxa" w:w="45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حدود المعدل وبعض آليات عدم التكرار والعمل المجدول وتخزين الملفات محلية للعملية.</w:t>
            </w:r>
          </w:p>
        </w:tc>
        <w:tc>
          <w:tcPr>
            <w:tcW w:type="dxa" w:w="411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قد تكرر النسخ الأفقية العمل وتفقد التنسيق وتقدم ملفات غير متسقة.</w:t>
            </w:r>
          </w:p>
        </w:tc>
      </w:tr>
      <w:tr>
        <w:trPr>
          <w:cantSplit/>
        </w:trPr>
        <w:tc>
          <w:tcPr>
            <w:tcW w:type="dxa" w:w="7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‎P1‎</w:t>
            </w:r>
          </w:p>
        </w:tc>
        <w:tc>
          <w:tcPr>
            <w:tcW w:type="dxa" w:w="45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لم تُقدم أدلة كاملة على CI/CD أو الرصد أو الجاهزية أو الإيقاف السلس أو النسخ الاحتياطي/الاستعادة أو اختبار التعافي.</w:t>
            </w:r>
          </w:p>
        </w:tc>
        <w:tc>
          <w:tcPr>
            <w:tcW w:type="dxa" w:w="411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لا يمكن التحقق من عمليات الإنتاج بصورة مستقلة.</w:t>
            </w:r>
          </w:p>
        </w:tc>
      </w:tr>
    </w:tbl>
    <w:p>
      <w:pPr>
        <w:spacing w:after="20"/>
        <w:bidi/>
        <w:jc w:val="right"/>
      </w:pPr>
    </w:p>
    <w:p>
      <w:pPr>
        <w:pStyle w:val="Heading1"/>
        <w:pageBreakBefore/>
        <w:bidi/>
        <w:jc w:val="right"/>
      </w:pPr>
      <w:r>
        <w:rPr>
          <w:rFonts w:ascii="DejaVu Sans" w:hAnsi="DejaVu Sans" w:cs="DejaVu Sans" w:eastAsia="DejaVu Sans"/>
          <w:lang w:val="ar-MA" w:eastAsia="ar-MA" w:bidi="ar-MA"/>
          <w:rtl/>
        </w:rPr>
        <w:t>أساس الوثيقة ومنهج العناية الواجبة</w:t>
      </w:r>
    </w:p>
    <w:p>
      <w:pPr>
        <w:keepLines w:val="0"/>
        <w:bidi/>
        <w:jc w:val="right"/>
      </w:pPr>
      <w:r>
        <w:rPr>
          <w:rFonts w:ascii="DejaVu Sans" w:hAnsi="DejaVu Sans" w:cs="DejaVu Sans" w:eastAsia="DejaVu Sans"/>
          <w:b w:val="0"/>
          <w:i w:val="0"/>
          <w:lang w:val="ar-MA" w:eastAsia="ar-MA" w:bidi="ar-MA"/>
          <w:rtl/>
        </w:rPr>
        <w:t>هذه الوثيقة تقرير عناية واجبة تقنية، وليست إقراراً من الإدارة، ولا اختبار اختراق، ولا رأياً قانونياً، ولا شهادة خصوصية، ولا تدقيقاً مالياً، ولا تقييماً لبيئة إنتاج حية. وتقتصر استنتاجاتها على محتويات الأرشيف المقدم وخطوات التحقق المحلية الآمنة.</w:t>
      </w:r>
    </w:p>
    <w:p>
      <w:pPr>
        <w:pStyle w:val="Heading2"/>
        <w:bidi/>
        <w:jc w:val="right"/>
      </w:pPr>
      <w:r>
        <w:rPr>
          <w:rFonts w:ascii="DejaVu Sans" w:hAnsi="DejaVu Sans" w:cs="DejaVu Sans" w:eastAsia="DejaVu Sans"/>
          <w:lang w:val="ar-MA" w:eastAsia="ar-MA" w:bidi="ar-MA"/>
          <w:rtl/>
        </w:rPr>
        <w:t>معيار الأدلة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300"/>
        <w:gridCol w:w="3330"/>
        <w:gridCol w:w="4730"/>
      </w:tblGrid>
      <w:tr>
        <w:trPr>
          <w:tblHeader w:val="true"/>
          <w:cantSplit/>
        </w:trPr>
        <w:tc>
          <w:tcPr>
            <w:tcW w:type="dxa" w:w="13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التصنيف</w:t>
            </w:r>
          </w:p>
        </w:tc>
        <w:tc>
          <w:tcPr>
            <w:tcW w:type="dxa" w:w="333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المعنى</w:t>
            </w:r>
          </w:p>
        </w:tc>
        <w:tc>
          <w:tcPr>
            <w:tcW w:type="dxa" w:w="473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الاستخدام في هذا التقرير</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متحقق منه</w:t>
            </w:r>
          </w:p>
        </w:tc>
        <w:tc>
          <w:tcPr>
            <w:tcW w:type="dxa" w:w="33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موجود مباشرة في المصدر أو المخطط أو الترحيلات أو الإعداد أو مخرجات الأوامر.</w:t>
            </w:r>
          </w:p>
        </w:tc>
        <w:tc>
          <w:tcPr>
            <w:tcW w:type="dxa" w:w="47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يُستخدم للبنية وأعداد المسارات/النماذج والضوابط والاعتماديات وفجوات الحزمة.</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مستنتج</w:t>
            </w:r>
          </w:p>
        </w:tc>
        <w:tc>
          <w:tcPr>
            <w:tcW w:type="dxa" w:w="33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تدل عليه مسارات أو أسماء الشفرة بقوة لكنه غير مثبت من طرف إلى طرف.</w:t>
            </w:r>
          </w:p>
        </w:tc>
        <w:tc>
          <w:tcPr>
            <w:tcW w:type="dxa" w:w="47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يُستخدم بحذر للنية التشغيلية مثل فئات المستندات الخاصة وطوبولوجيا النشر.</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غير مثبت</w:t>
            </w:r>
          </w:p>
        </w:tc>
        <w:tc>
          <w:tcPr>
            <w:tcW w:type="dxa" w:w="33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متوقع في نظام إنتاج ناضج لكنه غير موجود في الحزمة المقدمة.</w:t>
            </w:r>
          </w:p>
        </w:tc>
        <w:tc>
          <w:tcPr>
            <w:tcW w:type="dxa" w:w="47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يُستخدم لفجوات CI/CD والتعافي من الكوارث والمقاييس/التتبع وطوبولوجيا الإنتاج والحوكمة.</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حكم مهني</w:t>
            </w:r>
          </w:p>
        </w:tc>
        <w:tc>
          <w:tcPr>
            <w:tcW w:type="dxa" w:w="33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استنتاج محلل قائم على أدلة متحقق منها وممارسة هندسية مقبولة.</w:t>
            </w:r>
          </w:p>
        </w:tc>
        <w:tc>
          <w:tcPr>
            <w:tcW w:type="dxa" w:w="47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يُستخدم للنضج ومخاطر الاستثمار والتسلسل وتوصيات خارطة الطريق.</w:t>
            </w:r>
          </w:p>
        </w:tc>
      </w:tr>
    </w:tbl>
    <w:p>
      <w:pPr>
        <w:spacing w:after="20"/>
        <w:bidi/>
        <w:jc w:val="right"/>
      </w:pPr>
    </w:p>
    <w:p>
      <w:pPr>
        <w:pStyle w:val="Heading2"/>
        <w:bidi/>
        <w:jc w:val="right"/>
      </w:pPr>
      <w:r>
        <w:rPr>
          <w:rFonts w:ascii="DejaVu Sans" w:hAnsi="DejaVu Sans" w:cs="DejaVu Sans" w:eastAsia="DejaVu Sans"/>
          <w:lang w:val="ar-MA" w:eastAsia="ar-MA" w:bidi="ar-MA"/>
          <w:rtl/>
        </w:rPr>
        <w:t>أنشطة المراجعة</w:t>
      </w:r>
    </w:p>
    <w:p>
      <w:pPr>
        <w:keepLines/>
        <w:numPr>
          <w:ilvl w:val="0"/>
          <w:numId w:val="10"/>
        </w:numPr>
        <w:spacing w:after="160" w:line="280" w:lineRule="auto"/>
        <w:bidi/>
        <w:jc w:val="right"/>
      </w:pPr>
      <w:r>
        <w:rPr>
          <w:rFonts w:ascii="DejaVu Sans" w:hAnsi="DejaVu Sans" w:cs="DejaVu Sans" w:eastAsia="DejaVu Sans"/>
          <w:lang w:val="ar-MA" w:eastAsia="ar-MA" w:bidi="ar-MA"/>
          <w:rtl/>
        </w:rPr>
        <w:t>تم التحقق من مسارات إدخالات ZIP قبل الاستخراج؛ واستُبعدت ذاكرات البناء المؤقتة المولدة ومجلدات الاعتماديات من نسخة العمل المراجعة.</w:t>
      </w:r>
    </w:p>
    <w:p>
      <w:pPr>
        <w:keepLines/>
        <w:numPr>
          <w:ilvl w:val="0"/>
          <w:numId w:val="10"/>
        </w:numPr>
        <w:spacing w:after="160" w:line="280" w:lineRule="auto"/>
        <w:bidi/>
        <w:jc w:val="right"/>
      </w:pPr>
      <w:r>
        <w:rPr>
          <w:rFonts w:ascii="DejaVu Sans" w:hAnsi="DejaVu Sans" w:cs="DejaVu Sans" w:eastAsia="DejaVu Sans"/>
          <w:lang w:val="ar-MA" w:eastAsia="ar-MA" w:bidi="ar-MA"/>
          <w:rtl/>
        </w:rPr>
        <w:t>تم جرد التطبيقات ومساحات العمل وبيانات الحزم ومصدر TypeScript وحزم الاختبارات ومسارات وقت التشغيل ومخطط قاعدة البيانات وعمليات الترحيل.</w:t>
      </w:r>
    </w:p>
    <w:p>
      <w:pPr>
        <w:keepLines/>
        <w:numPr>
          <w:ilvl w:val="0"/>
          <w:numId w:val="10"/>
        </w:numPr>
        <w:spacing w:after="160" w:line="280" w:lineRule="auto"/>
        <w:bidi/>
        <w:jc w:val="right"/>
      </w:pPr>
      <w:r>
        <w:rPr>
          <w:rFonts w:ascii="DejaVu Sans" w:hAnsi="DejaVu Sans" w:cs="DejaVu Sans" w:eastAsia="DejaVu Sans"/>
          <w:lang w:val="ar-MA" w:eastAsia="ar-MA" w:bidi="ar-MA"/>
          <w:rtl/>
        </w:rPr>
        <w:t>تم تتبع المصادقة وعزل المستأجرين والتفويض وبوابات الاشتراك والحجز والمدفوعات وخطافات الويب والإشعارات وتخزين الملفات والأحداث الفورية والأعمال المجدولة.</w:t>
      </w:r>
    </w:p>
    <w:p>
      <w:pPr>
        <w:keepLines/>
        <w:numPr>
          <w:ilvl w:val="0"/>
          <w:numId w:val="10"/>
        </w:numPr>
        <w:spacing w:after="160" w:line="280" w:lineRule="auto"/>
        <w:bidi/>
        <w:jc w:val="right"/>
      </w:pPr>
      <w:r>
        <w:rPr>
          <w:rFonts w:ascii="DejaVu Sans" w:hAnsi="DejaVu Sans" w:cs="DejaVu Sans" w:eastAsia="DejaVu Sans"/>
          <w:lang w:val="ar-MA" w:eastAsia="ar-MA" w:bidi="ar-MA"/>
          <w:rtl/>
        </w:rPr>
        <w:t>تم تشغيل مسارات فحص الأنواع المعلنة للمستودع الأحادي ومساحات العمل، وفحص lint للصفحة الرئيسية، ومشغلات اختبارات الواجهة ضمن مهل زمنية مضبوطة، وتدقيق اعتماديات الإنتاج.</w:t>
      </w:r>
    </w:p>
    <w:p>
      <w:pPr>
        <w:keepLines/>
        <w:numPr>
          <w:ilvl w:val="0"/>
          <w:numId w:val="10"/>
        </w:numPr>
        <w:spacing w:after="160" w:line="280" w:lineRule="auto"/>
        <w:bidi/>
        <w:jc w:val="right"/>
      </w:pPr>
      <w:r>
        <w:rPr>
          <w:rFonts w:ascii="DejaVu Sans" w:hAnsi="DejaVu Sans" w:cs="DejaVu Sans" w:eastAsia="DejaVu Sans"/>
          <w:lang w:val="ar-MA" w:eastAsia="ar-MA" w:bidi="ar-MA"/>
          <w:rtl/>
        </w:rPr>
        <w:t>تمت مقارنة سلوك المنتج المعلن وثوابت التسعير المشتركة وسلوك API وقيود قاعدة البيانات والبرامج النصية التشغيلية للتحقق من الاتساق.</w:t>
      </w:r>
    </w:p>
    <w:p>
      <w:pPr>
        <w:pStyle w:val="Heading2"/>
        <w:bidi/>
        <w:jc w:val="right"/>
      </w:pPr>
      <w:r>
        <w:rPr>
          <w:rFonts w:ascii="DejaVu Sans" w:hAnsi="DejaVu Sans" w:cs="DejaVu Sans" w:eastAsia="DejaVu Sans"/>
          <w:lang w:val="ar-MA" w:eastAsia="ar-MA" w:bidi="ar-MA"/>
          <w:rtl/>
        </w:rPr>
        <w:t>حدود المراجعة</w:t>
      </w:r>
    </w:p>
    <w:p>
      <w:pPr>
        <w:keepLines/>
        <w:numPr>
          <w:ilvl w:val="0"/>
          <w:numId w:val="10"/>
        </w:numPr>
        <w:spacing w:after="160" w:line="280" w:lineRule="auto"/>
        <w:bidi/>
        <w:jc w:val="right"/>
      </w:pPr>
      <w:r>
        <w:rPr>
          <w:rFonts w:ascii="DejaVu Sans" w:hAnsi="DejaVu Sans" w:cs="DejaVu Sans" w:eastAsia="DejaVu Sans"/>
          <w:lang w:val="ar-MA" w:eastAsia="ar-MA" w:bidi="ar-MA"/>
          <w:rtl/>
        </w:rPr>
        <w:t>لم تُقدَّم بيئة إنتاج، أو حساب سحابي، أو محتويات قاعدة بيانات، أو حركة فعلية، أو مدير أسرار، أو لوحة مدفوعات، أو إعداد DNS/TLS، أو منصة مراقبة.</w:t>
      </w:r>
    </w:p>
    <w:p>
      <w:pPr>
        <w:keepLines/>
        <w:numPr>
          <w:ilvl w:val="0"/>
          <w:numId w:val="10"/>
        </w:numPr>
        <w:spacing w:after="160" w:line="280" w:lineRule="auto"/>
        <w:bidi/>
        <w:jc w:val="right"/>
      </w:pPr>
      <w:r>
        <w:rPr>
          <w:rFonts w:ascii="DejaVu Sans" w:hAnsi="DejaVu Sans" w:cs="DejaVu Sans" w:eastAsia="DejaVu Sans"/>
          <w:lang w:val="ar-MA" w:eastAsia="ar-MA" w:bidi="ar-MA"/>
          <w:rtl/>
        </w:rPr>
        <w:t>لم تُراجع مقابلات مع أصحاب المصلحة، أو بيانات الإيرادات، أو مقاييس تبني العملاء، أو سجل الحوادث، أو اتفاقيات معالجة البيانات، أو السياسات الأمنية.</w:t>
      </w:r>
    </w:p>
    <w:p>
      <w:pPr>
        <w:keepLines/>
        <w:numPr>
          <w:ilvl w:val="0"/>
          <w:numId w:val="10"/>
        </w:numPr>
        <w:spacing w:after="160" w:line="280" w:lineRule="auto"/>
        <w:bidi/>
        <w:jc w:val="right"/>
      </w:pPr>
      <w:r>
        <w:rPr>
          <w:rFonts w:ascii="DejaVu Sans" w:hAnsi="DejaVu Sans" w:cs="DejaVu Sans" w:eastAsia="DejaVu Sans"/>
          <w:lang w:val="ar-MA" w:eastAsia="ar-MA" w:bidi="ar-MA"/>
          <w:rtl/>
        </w:rPr>
        <w:t>تبدو الحزمة غير مكتملة مقارنة ببرامجها النصية نفسها. وقد توجد الملفات الناقصة في مكان آخر؛ لكنها لا يمكن أن تدعم ادعاءً في العناية الواجبة حتى تُقدَّم ويُعاد إنتاجها بصورة مستقلة.</w:t>
      </w:r>
    </w:p>
    <w:p>
      <w:pPr>
        <w:keepLines/>
        <w:numPr>
          <w:ilvl w:val="0"/>
          <w:numId w:val="10"/>
        </w:numPr>
        <w:spacing w:after="160" w:line="280" w:lineRule="auto"/>
        <w:bidi/>
        <w:jc w:val="right"/>
      </w:pPr>
      <w:r>
        <w:rPr>
          <w:rFonts w:ascii="DejaVu Sans" w:hAnsi="DejaVu Sans" w:cs="DejaVu Sans" w:eastAsia="DejaVu Sans"/>
          <w:lang w:val="ar-MA" w:eastAsia="ar-MA" w:bidi="ar-MA"/>
          <w:rtl/>
        </w:rPr>
        <w:t>نتائج تدقيق الاعتماديات حساسة زمنياً وتعكس الوضع في 9 أغسطس 2026؛ ويجب إعادة تشغيلها في CI وقبل أي إصدار.</w:t>
      </w:r>
    </w:p>
    <w:p>
      <w:pPr>
        <w:keepLines/>
        <w:numPr>
          <w:ilvl w:val="0"/>
          <w:numId w:val="10"/>
        </w:numPr>
        <w:spacing w:after="160" w:line="280" w:lineRule="auto"/>
        <w:bidi/>
        <w:jc w:val="right"/>
      </w:pPr>
      <w:r>
        <w:rPr>
          <w:rFonts w:ascii="DejaVu Sans" w:hAnsi="DejaVu Sans" w:cs="DejaVu Sans" w:eastAsia="DejaVu Sans"/>
          <w:lang w:val="ar-MA" w:eastAsia="ar-MA" w:bidi="ar-MA"/>
          <w:rtl/>
        </w:rPr>
        <w:t>نُفذت بعض ملفات اختبارات الواجهة بنجاح ظاهر، لكن المشغلات الكاملة لم تنتهِ بصورة سليمة في التشغيلات المضبوطة؛ وهذا لا يُعد شهادة نجاح للاختبارات.</w:t>
      </w:r>
    </w:p>
    <w:p>
      <w:pPr>
        <w:pStyle w:val="Heading2"/>
        <w:bidi/>
        <w:jc w:val="right"/>
      </w:pPr>
      <w:r>
        <w:rPr>
          <w:rFonts w:ascii="DejaVu Sans" w:hAnsi="DejaVu Sans" w:cs="DejaVu Sans" w:eastAsia="DejaVu Sans"/>
          <w:lang w:val="ar-MA" w:eastAsia="ar-MA" w:bidi="ar-MA"/>
          <w:rtl/>
        </w:rPr>
        <w:t>خريطة الوثيقة</w:t>
      </w:r>
    </w:p>
    <w:p>
      <w:pPr>
        <w:keepLines/>
        <w:numPr>
          <w:ilvl w:val="0"/>
          <w:numId w:val="10"/>
        </w:numPr>
        <w:spacing w:after="160" w:line="280" w:lineRule="auto"/>
        <w:bidi/>
        <w:jc w:val="right"/>
      </w:pPr>
      <w:r>
        <w:rPr>
          <w:rFonts w:ascii="DejaVu Sans" w:hAnsi="DejaVu Sans" w:cs="DejaVu Sans" w:eastAsia="DejaVu Sans"/>
          <w:lang w:val="ar-MA" w:eastAsia="ar-MA" w:bidi="ar-MA"/>
          <w:rtl/>
        </w:rPr>
        <w:t>1. نطاق المنتج والنظام</w:t>
      </w:r>
    </w:p>
    <w:p>
      <w:pPr>
        <w:keepLines/>
        <w:numPr>
          <w:ilvl w:val="0"/>
          <w:numId w:val="10"/>
        </w:numPr>
        <w:spacing w:after="160" w:line="280" w:lineRule="auto"/>
        <w:bidi/>
        <w:jc w:val="right"/>
      </w:pPr>
      <w:r>
        <w:rPr>
          <w:rFonts w:ascii="DejaVu Sans" w:hAnsi="DejaVu Sans" w:cs="DejaVu Sans" w:eastAsia="DejaVu Sans"/>
          <w:lang w:val="ar-MA" w:eastAsia="ar-MA" w:bidi="ar-MA"/>
          <w:rtl/>
        </w:rPr>
        <w:t>2. نظرة عامة على البنية</w:t>
      </w:r>
    </w:p>
    <w:p>
      <w:pPr>
        <w:keepLines/>
        <w:numPr>
          <w:ilvl w:val="0"/>
          <w:numId w:val="10"/>
        </w:numPr>
        <w:spacing w:after="160" w:line="280" w:lineRule="auto"/>
        <w:bidi/>
        <w:jc w:val="right"/>
      </w:pPr>
      <w:r>
        <w:rPr>
          <w:rFonts w:ascii="DejaVu Sans" w:hAnsi="DejaVu Sans" w:cs="DejaVu Sans" w:eastAsia="DejaVu Sans"/>
          <w:lang w:val="ar-MA" w:eastAsia="ar-MA" w:bidi="ar-MA"/>
          <w:rtl/>
        </w:rPr>
        <w:t>3. تصميم المستودع والمكونات</w:t>
      </w:r>
    </w:p>
    <w:p>
      <w:pPr>
        <w:keepLines/>
        <w:numPr>
          <w:ilvl w:val="0"/>
          <w:numId w:val="10"/>
        </w:numPr>
        <w:spacing w:after="160" w:line="280" w:lineRule="auto"/>
        <w:bidi/>
        <w:jc w:val="right"/>
      </w:pPr>
      <w:r>
        <w:rPr>
          <w:rFonts w:ascii="DejaVu Sans" w:hAnsi="DejaVu Sans" w:cs="DejaVu Sans" w:eastAsia="DejaVu Sans"/>
          <w:lang w:val="ar-MA" w:eastAsia="ar-MA" w:bidi="ar-MA"/>
          <w:rtl/>
        </w:rPr>
        <w:t>4. تصميم تطبيقات الواجهة</w:t>
      </w:r>
    </w:p>
    <w:p>
      <w:pPr>
        <w:keepLines/>
        <w:numPr>
          <w:ilvl w:val="0"/>
          <w:numId w:val="10"/>
        </w:numPr>
        <w:spacing w:after="160" w:line="280" w:lineRule="auto"/>
        <w:bidi/>
        <w:jc w:val="right"/>
      </w:pPr>
      <w:r>
        <w:rPr>
          <w:rFonts w:ascii="DejaVu Sans" w:hAnsi="DejaVu Sans" w:cs="DejaVu Sans" w:eastAsia="DejaVu Sans"/>
          <w:lang w:val="ar-MA" w:eastAsia="ar-MA" w:bidi="ar-MA"/>
          <w:rtl/>
        </w:rPr>
        <w:t>5. تصميم API والخدمات</w:t>
      </w:r>
    </w:p>
    <w:p>
      <w:pPr>
        <w:keepLines/>
        <w:numPr>
          <w:ilvl w:val="0"/>
          <w:numId w:val="10"/>
        </w:numPr>
        <w:spacing w:after="160" w:line="280" w:lineRule="auto"/>
        <w:bidi/>
        <w:jc w:val="right"/>
      </w:pPr>
      <w:r>
        <w:rPr>
          <w:rFonts w:ascii="DejaVu Sans" w:hAnsi="DejaVu Sans" w:cs="DejaVu Sans" w:eastAsia="DejaVu Sans"/>
          <w:lang w:val="ar-MA" w:eastAsia="ar-MA" w:bidi="ar-MA"/>
          <w:rtl/>
        </w:rPr>
        <w:t>6. بنية البيانات</w:t>
      </w:r>
    </w:p>
    <w:p>
      <w:pPr>
        <w:keepLines/>
        <w:numPr>
          <w:ilvl w:val="0"/>
          <w:numId w:val="10"/>
        </w:numPr>
        <w:spacing w:after="160" w:line="280" w:lineRule="auto"/>
        <w:bidi/>
        <w:jc w:val="right"/>
      </w:pPr>
      <w:r>
        <w:rPr>
          <w:rFonts w:ascii="DejaVu Sans" w:hAnsi="DejaVu Sans" w:cs="DejaVu Sans" w:eastAsia="DejaVu Sans"/>
          <w:lang w:val="ar-MA" w:eastAsia="ar-MA" w:bidi="ar-MA"/>
          <w:rtl/>
        </w:rPr>
        <w:t>7. الهوية وتعدد المستأجرين والتحكم في الوصول</w:t>
      </w:r>
    </w:p>
    <w:p>
      <w:pPr>
        <w:keepLines/>
        <w:numPr>
          <w:ilvl w:val="0"/>
          <w:numId w:val="10"/>
        </w:numPr>
        <w:spacing w:after="160" w:line="280" w:lineRule="auto"/>
        <w:bidi/>
        <w:jc w:val="right"/>
      </w:pPr>
      <w:r>
        <w:rPr>
          <w:rFonts w:ascii="DejaVu Sans" w:hAnsi="DejaVu Sans" w:cs="DejaVu Sans" w:eastAsia="DejaVu Sans"/>
          <w:lang w:val="ar-MA" w:eastAsia="ar-MA" w:bidi="ar-MA"/>
          <w:rtl/>
        </w:rPr>
        <w:t>8. الحجز وتدفقات العمل التشغيلية</w:t>
      </w:r>
    </w:p>
    <w:p>
      <w:pPr>
        <w:keepLines/>
        <w:numPr>
          <w:ilvl w:val="0"/>
          <w:numId w:val="10"/>
        </w:numPr>
        <w:spacing w:after="160" w:line="280" w:lineRule="auto"/>
        <w:bidi/>
        <w:jc w:val="right"/>
      </w:pPr>
      <w:r>
        <w:rPr>
          <w:rFonts w:ascii="DejaVu Sans" w:hAnsi="DejaVu Sans" w:cs="DejaVu Sans" w:eastAsia="DejaVu Sans"/>
          <w:lang w:val="ar-MA" w:eastAsia="ar-MA" w:bidi="ar-MA"/>
          <w:rtl/>
        </w:rPr>
        <w:t>9. التصميم التجاري والاشتراكات والفوترة</w:t>
      </w:r>
    </w:p>
    <w:p>
      <w:pPr>
        <w:keepLines/>
        <w:numPr>
          <w:ilvl w:val="0"/>
          <w:numId w:val="10"/>
        </w:numPr>
        <w:spacing w:after="160" w:line="280" w:lineRule="auto"/>
        <w:bidi/>
        <w:jc w:val="right"/>
      </w:pPr>
      <w:r>
        <w:rPr>
          <w:rFonts w:ascii="DejaVu Sans" w:hAnsi="DejaVu Sans" w:cs="DejaVu Sans" w:eastAsia="DejaVu Sans"/>
          <w:lang w:val="ar-MA" w:eastAsia="ar-MA" w:bidi="ar-MA"/>
          <w:rtl/>
        </w:rPr>
        <w:t>10. المدفوعات والتكاملات المالية</w:t>
      </w:r>
    </w:p>
    <w:p>
      <w:pPr>
        <w:keepLines/>
        <w:numPr>
          <w:ilvl w:val="0"/>
          <w:numId w:val="10"/>
        </w:numPr>
        <w:spacing w:after="160" w:line="280" w:lineRule="auto"/>
        <w:bidi/>
        <w:jc w:val="right"/>
      </w:pPr>
      <w:r>
        <w:rPr>
          <w:rFonts w:ascii="DejaVu Sans" w:hAnsi="DejaVu Sans" w:cs="DejaVu Sans" w:eastAsia="DejaVu Sans"/>
          <w:lang w:val="ar-MA" w:eastAsia="ar-MA" w:bidi="ar-MA"/>
          <w:rtl/>
        </w:rPr>
        <w:t>11. الإشعارات والعمل الفوري والمجدول</w:t>
      </w:r>
    </w:p>
    <w:p>
      <w:pPr>
        <w:keepLines/>
        <w:numPr>
          <w:ilvl w:val="0"/>
          <w:numId w:val="10"/>
        </w:numPr>
        <w:spacing w:after="160" w:line="280" w:lineRule="auto"/>
        <w:bidi/>
        <w:jc w:val="right"/>
      </w:pPr>
      <w:r>
        <w:rPr>
          <w:rFonts w:ascii="DejaVu Sans" w:hAnsi="DejaVu Sans" w:cs="DejaVu Sans" w:eastAsia="DejaVu Sans"/>
          <w:lang w:val="ar-MA" w:eastAsia="ar-MA" w:bidi="ar-MA"/>
          <w:rtl/>
        </w:rPr>
        <w:t>12. الأمن والخصوصية</w:t>
      </w:r>
    </w:p>
    <w:p>
      <w:pPr>
        <w:keepLines/>
        <w:numPr>
          <w:ilvl w:val="0"/>
          <w:numId w:val="10"/>
        </w:numPr>
        <w:spacing w:after="160" w:line="280" w:lineRule="auto"/>
        <w:bidi/>
        <w:jc w:val="right"/>
      </w:pPr>
      <w:r>
        <w:rPr>
          <w:rFonts w:ascii="DejaVu Sans" w:hAnsi="DejaVu Sans" w:cs="DejaVu Sans" w:eastAsia="DejaVu Sans"/>
          <w:lang w:val="ar-MA" w:eastAsia="ar-MA" w:bidi="ar-MA"/>
          <w:rtl/>
        </w:rPr>
        <w:t>13. النشر والعمليات وقابلية التوسع</w:t>
      </w:r>
    </w:p>
    <w:p>
      <w:pPr>
        <w:keepLines/>
        <w:numPr>
          <w:ilvl w:val="0"/>
          <w:numId w:val="10"/>
        </w:numPr>
        <w:spacing w:after="160" w:line="280" w:lineRule="auto"/>
        <w:bidi/>
        <w:jc w:val="right"/>
      </w:pPr>
      <w:r>
        <w:rPr>
          <w:rFonts w:ascii="DejaVu Sans" w:hAnsi="DejaVu Sans" w:cs="DejaVu Sans" w:eastAsia="DejaVu Sans"/>
          <w:lang w:val="ar-MA" w:eastAsia="ar-MA" w:bidi="ar-MA"/>
          <w:rtl/>
        </w:rPr>
        <w:t>14. هندسة الجودة وقابلية الصيانة</w:t>
      </w:r>
    </w:p>
    <w:p>
      <w:pPr>
        <w:keepLines/>
        <w:numPr>
          <w:ilvl w:val="0"/>
          <w:numId w:val="10"/>
        </w:numPr>
        <w:spacing w:after="160" w:line="280" w:lineRule="auto"/>
        <w:bidi/>
        <w:jc w:val="right"/>
      </w:pPr>
      <w:r>
        <w:rPr>
          <w:rFonts w:ascii="DejaVu Sans" w:hAnsi="DejaVu Sans" w:cs="DejaVu Sans" w:eastAsia="DejaVu Sans"/>
          <w:lang w:val="ar-MA" w:eastAsia="ar-MA" w:bidi="ar-MA"/>
          <w:rtl/>
        </w:rPr>
        <w:t>15. سجل المخاطر</w:t>
      </w:r>
    </w:p>
    <w:p>
      <w:pPr>
        <w:keepLines/>
        <w:numPr>
          <w:ilvl w:val="0"/>
          <w:numId w:val="10"/>
        </w:numPr>
        <w:spacing w:after="160" w:line="280" w:lineRule="auto"/>
        <w:bidi/>
        <w:jc w:val="right"/>
      </w:pPr>
      <w:r>
        <w:rPr>
          <w:rFonts w:ascii="DejaVu Sans" w:hAnsi="DejaVu Sans" w:cs="DejaVu Sans" w:eastAsia="DejaVu Sans"/>
          <w:lang w:val="ar-MA" w:eastAsia="ar-MA" w:bidi="ar-MA"/>
          <w:rtl/>
        </w:rPr>
        <w:t>16. خارطة طريق الجاهزية للإنتاج</w:t>
      </w:r>
    </w:p>
    <w:p>
      <w:pPr>
        <w:keepLines/>
        <w:numPr>
          <w:ilvl w:val="0"/>
          <w:numId w:val="10"/>
        </w:numPr>
        <w:spacing w:after="160" w:line="280" w:lineRule="auto"/>
        <w:bidi/>
        <w:jc w:val="right"/>
      </w:pPr>
      <w:r>
        <w:rPr>
          <w:rFonts w:ascii="DejaVu Sans" w:hAnsi="DejaVu Sans" w:cs="DejaVu Sans" w:eastAsia="DejaVu Sans"/>
          <w:lang w:val="ar-MA" w:eastAsia="ar-MA" w:bidi="ar-MA"/>
          <w:rtl/>
        </w:rPr>
        <w:t>17. انضباط الادعاءات الموجهة للمستثمر</w:t>
      </w:r>
    </w:p>
    <w:p>
      <w:pPr>
        <w:keepLines/>
        <w:numPr>
          <w:ilvl w:val="0"/>
          <w:numId w:val="10"/>
        </w:numPr>
        <w:spacing w:after="160" w:line="280" w:lineRule="auto"/>
        <w:bidi/>
        <w:jc w:val="right"/>
      </w:pPr>
      <w:r>
        <w:rPr>
          <w:rFonts w:ascii="DejaVu Sans" w:hAnsi="DejaVu Sans" w:cs="DejaVu Sans" w:eastAsia="DejaVu Sans"/>
          <w:lang w:val="ar-MA" w:eastAsia="ar-MA" w:bidi="ar-MA"/>
          <w:rtl/>
        </w:rPr>
        <w:t>الملاحق: الحزمة التقنية، وفهرس نماذج البيانات، وجرد API، وفهرس الأدلة</w:t>
      </w:r>
    </w:p>
    <w:p>
      <w:pPr>
        <w:bidi/>
        <w:jc w:val="right"/>
      </w:pPr>
      <w:r>
        <w:rPr>
          <w:lang w:val="en-US" w:eastAsia="en-US" w:bidi="en-US"/>
        </w:rPr>
        <w:br w:type="page"/>
      </w:r>
    </w:p>
    <w:p>
      <w:pPr>
        <w:pStyle w:val="Heading1"/>
        <w:bidi/>
        <w:jc w:val="right"/>
      </w:pPr>
      <w:r>
        <w:rPr>
          <w:rFonts w:ascii="DejaVu Sans" w:hAnsi="DejaVu Sans" w:cs="DejaVu Sans" w:eastAsia="DejaVu Sans"/>
          <w:lang w:val="ar-MA" w:eastAsia="ar-MA" w:bidi="ar-MA"/>
          <w:rtl/>
        </w:rPr>
        <w:t>1. نطاق المنتج والنظام</w:t>
      </w:r>
    </w:p>
    <w:p>
      <w:pPr>
        <w:keepLines w:val="0"/>
        <w:bidi/>
        <w:jc w:val="right"/>
      </w:pPr>
      <w:r>
        <w:rPr>
          <w:rFonts w:ascii="DejaVu Sans" w:hAnsi="DejaVu Sans" w:cs="DejaVu Sans" w:eastAsia="DejaVu Sans"/>
          <w:b w:val="0"/>
          <w:i w:val="0"/>
          <w:lang w:val="ar-MA" w:eastAsia="ar-MA" w:bidi="ar-MA"/>
          <w:rtl/>
        </w:rPr>
        <w:t>صُمم RentalDriveGo كمنصة SaaS متعددة المستأجرين لإدارة التأجير، مع سوق عامة ومستوى تحكم منفصل للمنصة. وتتجه الشفرة بقوة إلى المشغلين المغاربة: أسعار الخطط بالدرهم المغربي، والمدن المغربية حاضرة في بيانات السوق، وواجهات المستخدم تدعم الإنجليزية والفرنسية والعربية، بما في ذلك التخطيطات من اليمين إلى اليسار.</w:t>
      </w:r>
    </w:p>
    <w:p>
      <w:pPr>
        <w:pStyle w:val="Heading2"/>
        <w:bidi/>
        <w:jc w:val="right"/>
      </w:pPr>
      <w:r>
        <w:rPr>
          <w:rFonts w:ascii="DejaVu Sans" w:hAnsi="DejaVu Sans" w:cs="DejaVu Sans" w:eastAsia="DejaVu Sans"/>
          <w:lang w:val="ar-MA" w:eastAsia="ar-MA" w:bidi="ar-MA"/>
          <w:rtl/>
        </w:rPr>
        <w:t>فئات المستخدمين الرئيسية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700"/>
        <w:gridCol w:w="1450"/>
        <w:gridCol w:w="621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الفاعل</w:t>
            </w:r>
          </w:p>
        </w:tc>
        <w:tc>
          <w:tcPr>
            <w:tcW w:type="dxa" w:w="14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السطح الرئيسي</w:t>
            </w:r>
          </w:p>
        </w:tc>
        <w:tc>
          <w:tcPr>
            <w:tcW w:type="dxa" w:w="621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القدرات المثبتة</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عميل محتمل / زائر عام</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الصفحة الرئيسية</w:t>
            </w:r>
          </w:p>
        </w:tc>
        <w:tc>
          <w:tcPr>
            <w:tcW w:type="dxa" w:w="62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التعريف بالمنتج والمقارنة والتسعير والثقة/الأمن والأسئلة الشائعة ومدخل تسجيل الدخول ودعوات التحويل إلى إجراء.</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مستأجر ضيف</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‎Carplace‎</w:t>
            </w:r>
          </w:p>
        </w:tc>
        <w:tc>
          <w:tcPr>
            <w:tcW w:type="dxa" w:w="62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اكتشاف مركبات عابر للمستأجرين وتفاصيل الشركة والمركبة واختيار التاريخ وخطوات العرض/المراجعة وطلب الحجز.</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موظف المستأجر</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لوحة المعلومات</w:t>
            </w:r>
          </w:p>
        </w:tc>
        <w:tc>
          <w:tcPr>
            <w:tcW w:type="dxa" w:w="62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الأسطول والعملاء والحجوزات والعقود والفوترة والعروض والفريق والتقارير والمراجعات والشكاوى والإشعارات والإعدادات والاشتراك.</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مدير المنصة</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الإدارة</w:t>
            </w:r>
          </w:p>
        </w:tc>
        <w:tc>
          <w:tcPr>
            <w:tcW w:type="dxa" w:w="62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الشركات وحسابات المستأجرين والمستخدمون الإداريون وسجلات التدقيق والتسعير والفوترة وإعداد القوائم والإشعارات وإعداد الموقع.</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مستهلك API</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‎Express API‎</w:t>
            </w:r>
          </w:p>
        </w:tc>
        <w:tc>
          <w:tcPr>
            <w:tcW w:type="dxa" w:w="62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وصول بملف تعريف ارتباط أو bearer؛ ووصول محدد بمفتاح API؛ وواجهات مجال ونقاط دخول خطافات ويب موقعة.</w:t>
            </w:r>
          </w:p>
        </w:tc>
      </w:tr>
    </w:tbl>
    <w:p>
      <w:pPr>
        <w:spacing w:after="20"/>
        <w:bidi/>
        <w:jc w:val="right"/>
      </w:pPr>
    </w:p>
    <w:p>
      <w:pPr>
        <w:bidi/>
        <w:jc w:val="right"/>
      </w:pPr>
      <w:r>
        <w:rPr>
          <w:lang w:val="en-US" w:eastAsia="en-US" w:bidi="en-US"/>
        </w:rPr>
        <w:br w:type="page"/>
      </w:r>
    </w:p>
    <w:p>
      <w:pPr>
        <w:pStyle w:val="Heading2"/>
        <w:bidi/>
        <w:jc w:val="right"/>
      </w:pPr>
      <w:r>
        <w:rPr>
          <w:rFonts w:ascii="DejaVu Sans" w:hAnsi="DejaVu Sans" w:cs="DejaVu Sans" w:eastAsia="DejaVu Sans"/>
          <w:lang w:val="ar-MA" w:eastAsia="ar-MA" w:bidi="ar-MA"/>
          <w:rtl/>
        </w:rPr>
        <w:t>حدود المنتج</w:t>
      </w:r>
    </w:p>
    <w:p>
      <w:pPr>
        <w:keepLines w:val="0"/>
        <w:bidi/>
        <w:jc w:val="right"/>
      </w:pPr>
      <w:r>
        <w:rPr>
          <w:rFonts w:ascii="DejaVu Sans" w:hAnsi="DejaVu Sans" w:cs="DejaVu Sans" w:eastAsia="DejaVu Sans"/>
          <w:b w:val="0"/>
          <w:i w:val="0"/>
          <w:lang w:val="ar-MA" w:eastAsia="ar-MA" w:bidi="ar-MA"/>
          <w:rtl/>
        </w:rPr>
        <w:t>المنتج أوسع من مجرد جرد الأسطول. فقاعدة بياناته ومساراته تغطي دورة التأجير من الاستحواذ والاكتشاف، مروراً بالحجز والدفع والمستندات وأدلة التسليم والأضرار والمراجعات والشكاوى والإشعارات والاشتراكات، وصولاً إلى إدارة المنصة. وهذا الاتساع مفيد تجارياً، لكنه يزيد أيضاً عدد تدفقات العمل التي يجب جعلها موثوقة تشغيلياً قبل الإتاحة العامة.</w:t>
      </w:r>
    </w:p>
    <w:p>
      <w:pPr>
        <w:keepLines/>
        <w:spacing w:before="100" w:after="200"/>
        <w:ind w:left="173" w:right="115"/>
        <w:shd w:fill="E8EEF5"/>
        <w:pBdr>
          <w:left w:val="single" w:sz="20" w:space="8" w:color="2E74B5"/>
        </w:pBdr>
        <w:bidi/>
        <w:jc w:val="right"/>
      </w:pPr>
      <w:r>
        <w:rPr>
          <w:rFonts w:ascii="DejaVu Sans" w:hAnsi="DejaVu Sans" w:cs="DejaVu Sans" w:eastAsia="DejaVu Sans"/>
          <w:b/>
          <w:color w:val="2E74B5"/>
          <w:lang w:val="ar-MA" w:eastAsia="ar-MA" w:bidi="ar-MA"/>
          <w:rtl/>
        </w:rPr>
        <w:t xml:space="preserve">انضباط التموضع  </w:t>
      </w:r>
      <w:r>
        <w:rPr>
          <w:rFonts w:ascii="DejaVu Sans" w:hAnsi="DejaVu Sans" w:cs="DejaVu Sans" w:eastAsia="DejaVu Sans"/>
          <w:color w:val="101828"/>
          <w:lang w:val="ar-MA" w:eastAsia="ar-MA" w:bidi="ar-MA"/>
          <w:rtl/>
        </w:rPr>
        <w:t>يدعم التنفيذ رسالة «نظام تشغيل للتأجير مع توزيع عبر السوق». لكنه لا يدعم بعد ادعاءات بإتمام KYC/التحقق من الهوية، أو ضمان تسليم الإشعارات عبر كل القنوات، أو عزل الحاويات لكل مستأجر، أو توافر عالٍ مثبت.</w:t>
      </w:r>
    </w:p>
    <w:p>
      <w:pPr>
        <w:pStyle w:val="Heading2"/>
        <w:bidi/>
        <w:jc w:val="right"/>
      </w:pPr>
      <w:r>
        <w:rPr>
          <w:rFonts w:ascii="DejaVu Sans" w:hAnsi="DejaVu Sans" w:cs="DejaVu Sans" w:eastAsia="DejaVu Sans"/>
          <w:lang w:val="ar-MA" w:eastAsia="ar-MA" w:bidi="ar-MA"/>
          <w:rtl/>
        </w:rPr>
        <w:t>حجم قاعدة الشفرة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2150"/>
        <w:gridCol w:w="1450"/>
        <w:gridCol w:w="5760"/>
      </w:tblGrid>
      <w:tr>
        <w:trPr>
          <w:tblHeader w:val="true"/>
          <w:cantSplit/>
        </w:trPr>
        <w:tc>
          <w:tcPr>
            <w:tcW w:type="dxa" w:w="21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المقياس</w:t>
            </w:r>
          </w:p>
        </w:tc>
        <w:tc>
          <w:tcPr>
            <w:tcW w:type="dxa" w:w="14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القيمة المتحقق منها</w:t>
            </w:r>
          </w:p>
        </w:tc>
        <w:tc>
          <w:tcPr>
            <w:tcW w:type="dxa" w:w="57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التفسير</w:t>
            </w:r>
          </w:p>
        </w:tc>
      </w:tr>
      <w:tr>
        <w:trPr>
          <w:cantSplit/>
        </w:trPr>
        <w:tc>
          <w:tcPr>
            <w:tcW w:type="dxa" w:w="2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مصدر المنتج</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نحو 66,483 سطراً</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يستبعد الاختبارات والشفرة المولدة؛ ويشمل شفرة التطبيقات والأنواع المشتركة ومخطط Prisma.</w:t>
            </w:r>
          </w:p>
        </w:tc>
      </w:tr>
      <w:tr>
        <w:trPr>
          <w:cantSplit/>
        </w:trPr>
        <w:tc>
          <w:tcPr>
            <w:tcW w:type="dxa" w:w="2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مصدر الاختبارات</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نحو 22,716 سطراً</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استثمار ذو قيمة في الاختبارات، رغم أن التنفيذ غير قابل لإعادة الإنتاج بصورة سليمة من الحزمة.</w:t>
            </w:r>
          </w:p>
        </w:tc>
      </w:tr>
      <w:tr>
        <w:trPr>
          <w:cantSplit/>
        </w:trPr>
        <w:tc>
          <w:tcPr>
            <w:tcW w:type="dxa" w:w="2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ملفات الاختبار</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‎266‎</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يوجد 185 داخل API؛ وتغطي اختبارات الواجهة المكونات وhooks وسلوك البرمجية الوسيطة/الوكيل والمحتوى.</w:t>
            </w:r>
          </w:p>
        </w:tc>
      </w:tr>
      <w:tr>
        <w:trPr>
          <w:cantSplit/>
        </w:trPr>
        <w:tc>
          <w:tcPr>
            <w:tcW w:type="dxa" w:w="2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معالجات API</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‎268‎</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تسجيلات طرق HTTP وقت التشغيل عبر 21 مجالاً.</w:t>
            </w:r>
          </w:p>
        </w:tc>
      </w:tr>
      <w:tr>
        <w:trPr>
          <w:cantSplit/>
        </w:trPr>
        <w:tc>
          <w:tcPr>
            <w:tcW w:type="dxa" w:w="2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العمليات الموثقة</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‎158‎</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تبلغ تغطية OpenAPI اليدوية نحو 59% من معالجات وقت التشغيل.</w:t>
            </w:r>
          </w:p>
        </w:tc>
      </w:tr>
      <w:tr>
        <w:trPr>
          <w:cantSplit/>
        </w:trPr>
        <w:tc>
          <w:tcPr>
            <w:tcW w:type="dxa" w:w="2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نماذج قاعدة البيانات / التعدادات</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‎67 / 60‎</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تمثيل كبير للمجال والحالات.</w:t>
            </w:r>
          </w:p>
        </w:tc>
      </w:tr>
      <w:tr>
        <w:trPr>
          <w:cantSplit/>
        </w:trPr>
        <w:tc>
          <w:tcPr>
            <w:tcW w:type="dxa" w:w="2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مجلدات الترحيل</w:t>
            </w:r>
          </w:p>
        </w:tc>
        <w:tc>
          <w:tcPr>
            <w:tcW w:type="dxa" w:w="14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‎49‎</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يُظهر مخططاً متطوراً لا تصميماً أولياً واحداً.</w:t>
            </w:r>
          </w:p>
        </w:tc>
      </w:tr>
    </w:tbl>
    <w:p>
      <w:pPr>
        <w:spacing w:after="20"/>
        <w:bidi/>
        <w:jc w:val="right"/>
      </w:pPr>
    </w:p>
    <w:p>
      <w:pPr>
        <w:pStyle w:val="Heading1"/>
        <w:bidi/>
        <w:jc w:val="right"/>
      </w:pPr>
      <w:r>
        <w:rPr>
          <w:rFonts w:ascii="DejaVu Sans" w:hAnsi="DejaVu Sans" w:cs="DejaVu Sans" w:eastAsia="DejaVu Sans"/>
          <w:lang w:val="ar-MA" w:eastAsia="ar-MA" w:bidi="ar-MA"/>
          <w:rtl/>
        </w:rPr>
        <w:t>2. نظرة عامة على البنية</w:t>
      </w:r>
    </w:p>
    <w:p>
      <w:pPr>
        <w:keepLines/>
        <w:spacing w:before="120" w:after="40"/>
        <w:jc w:val="center"/>
        <w:bidi/>
      </w:pPr>
      <w:r>
        <w:rPr>
          <w:lang w:val="en-US" w:eastAsia="en-US" w:bidi="en-US"/>
        </w:rPr>
        <w:drawing>
          <wp:inline xmlns:a="http://schemas.openxmlformats.org/drawingml/2006/main" xmlns:pic="http://schemas.openxmlformats.org/drawingml/2006/picture">
            <wp:extent cx="5760720" cy="3392424"/>
            <wp:docPr id="1" name="Picture 1" descr="الشكل 1. طوبولوجيا منطقية متحقق منها، مشتقة من إعدادات إعادة الكتابة/المسار الأساسي في Next.js واعتماديات API." title="Runtime Topology"/>
            <wp:cNvGraphicFramePr>
              <a:graphicFrameLocks noChangeAspect="1"/>
            </wp:cNvGraphicFramePr>
            <a:graphic>
              <a:graphicData uri="http://schemas.openxmlformats.org/drawingml/2006/picture">
                <pic:pic>
                  <pic:nvPicPr>
                    <pic:cNvPr id="0" name="runtime_topology.png"/>
                    <pic:cNvPicPr/>
                  </pic:nvPicPr>
                  <pic:blipFill>
                    <a:blip r:embed="rId11"/>
                    <a:stretch>
                      <a:fillRect/>
                    </a:stretch>
                  </pic:blipFill>
                  <pic:spPr>
                    <a:xfrm>
                      <a:off x="0" y="0"/>
                      <a:ext cx="5760720" cy="3392424"/>
                    </a:xfrm>
                    <a:prstGeom prst="rect"/>
                  </pic:spPr>
                </pic:pic>
              </a:graphicData>
            </a:graphic>
          </wp:inline>
        </w:drawing>
      </w:r>
    </w:p>
    <w:p>
      <w:pPr>
        <w:pStyle w:val="Caption"/>
        <w:keepNext w:val="0"/>
        <w:bidi/>
        <w:jc w:val="right"/>
      </w:pPr>
      <w:r>
        <w:rPr>
          <w:rFonts w:ascii="DejaVu Sans" w:hAnsi="DejaVu Sans" w:cs="DejaVu Sans" w:eastAsia="DejaVu Sans"/>
          <w:lang w:val="ar-MA" w:eastAsia="ar-MA" w:bidi="ar-MA"/>
          <w:rtl/>
        </w:rPr>
        <w:t>الشكل 1. طوبولوجيا منطقية متحقق منها، مشتقة من إعدادات إعادة الكتابة/المسار الأساسي في Next.js واعتماديات API.</w:t>
      </w:r>
    </w:p>
    <w:p>
      <w:pPr>
        <w:keepLines w:val="0"/>
        <w:bidi/>
        <w:jc w:val="right"/>
      </w:pPr>
      <w:r>
        <w:rPr>
          <w:rFonts w:ascii="DejaVu Sans" w:hAnsi="DejaVu Sans" w:cs="DejaVu Sans" w:eastAsia="DejaVu Sans"/>
          <w:b w:val="0"/>
          <w:i w:val="0"/>
          <w:lang w:val="ar-MA" w:eastAsia="ar-MA" w:bidi="ar-MA"/>
          <w:rtl/>
        </w:rPr>
        <w:t>التوصيف المعماري الصحيح هو مستودع أحادي متعدد التطبيقات مع خلفية أحادية معيارية. يمكن لكل تطبيق Next.js أن يعمل كعملية مستقلة ويخدم فئة مختلفة، بينما تركز Express API معظم منطق الأعمال وتخزن البيانات في قاعدة PostgreSQL مشتركة. كما تعمل الصفحة الرئيسية بوصفها الحافة العامة عبر إعادة كتابة بادئات المسارات نحو التطبيقات الأخرى وAPI.</w:t>
      </w:r>
    </w:p>
    <w:p>
      <w:pPr>
        <w:pStyle w:val="Heading2"/>
        <w:bidi/>
        <w:jc w:val="right"/>
      </w:pPr>
      <w:r>
        <w:rPr>
          <w:rFonts w:ascii="DejaVu Sans" w:hAnsi="DejaVu Sans" w:cs="DejaVu Sans" w:eastAsia="DejaVu Sans"/>
          <w:lang w:val="ar-MA" w:eastAsia="ar-MA" w:bidi="ar-MA"/>
          <w:rtl/>
        </w:rPr>
        <w:t>وحدات النشر</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350"/>
        <w:gridCol w:w="1500"/>
        <w:gridCol w:w="3830"/>
        <w:gridCol w:w="2680"/>
      </w:tblGrid>
      <w:tr>
        <w:trPr>
          <w:tblHeader w:val="true"/>
          <w:cantSplit/>
        </w:trPr>
        <w:tc>
          <w:tcPr>
            <w:tcW w:type="dxa" w:w="13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الوحدة</w:t>
            </w:r>
          </w:p>
        </w:tc>
        <w:tc>
          <w:tcPr>
            <w:tcW w:type="dxa" w:w="15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المسار / المنفذ الافتراضي</w:t>
            </w:r>
          </w:p>
        </w:tc>
        <w:tc>
          <w:tcPr>
            <w:tcW w:type="dxa" w:w="383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المسؤولية</w:t>
            </w:r>
          </w:p>
        </w:tc>
        <w:tc>
          <w:tcPr>
            <w:tcW w:type="dxa" w:w="268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الحالة</w:t>
            </w:r>
          </w:p>
        </w:tc>
      </w:tr>
      <w:tr>
        <w:trPr>
          <w:cantSplit/>
        </w:trPr>
        <w:tc>
          <w:tcPr>
            <w:tcW w:type="dxa" w:w="13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الصفحة الرئيسية</w:t>
            </w:r>
          </w:p>
        </w:tc>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 • 3000‎</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التسويق وتسجيل الدخول وإعادة كتابة الحافة العامة</w:t>
            </w:r>
          </w:p>
        </w:tc>
        <w:tc>
          <w:tcPr>
            <w:tcW w:type="dxa" w:w="268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واجهة عديمة الحالة؛ إعداد الوكيل</w:t>
            </w:r>
          </w:p>
        </w:tc>
      </w:tr>
      <w:tr>
        <w:trPr>
          <w:cantSplit/>
        </w:trPr>
        <w:tc>
          <w:tcPr>
            <w:tcW w:type="dxa" w:w="13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لوحة المعلومات</w:t>
            </w:r>
          </w:p>
        </w:tc>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‎/dashboard • 3001‎</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عمليات المستأجر</w:t>
            </w:r>
          </w:p>
        </w:tc>
        <w:tc>
          <w:tcPr>
            <w:tcW w:type="dxa" w:w="268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ملف جلسة موظف HttpOnly؛ وكيل API</w:t>
            </w:r>
          </w:p>
        </w:tc>
      </w:tr>
      <w:tr>
        <w:trPr>
          <w:cantSplit/>
        </w:trPr>
        <w:tc>
          <w:tcPr>
            <w:tcW w:type="dxa" w:w="13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الإدارة</w:t>
            </w:r>
          </w:p>
        </w:tc>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‎/admin • 3002‎</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عمليات المنصة</w:t>
            </w:r>
          </w:p>
        </w:tc>
        <w:tc>
          <w:tcPr>
            <w:tcW w:type="dxa" w:w="268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ملف/جلسة إدارة؛ حالة مدعومة بـAPI</w:t>
            </w:r>
          </w:p>
        </w:tc>
      </w:tr>
      <w:tr>
        <w:trPr>
          <w:cantSplit/>
        </w:trPr>
        <w:tc>
          <w:tcPr>
            <w:tcW w:type="dxa" w:w="13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‎Carplace‎</w:t>
            </w:r>
          </w:p>
        </w:tc>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‎/carplace • 3004‎</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السوق العامة</w:t>
            </w:r>
          </w:p>
        </w:tc>
        <w:tc>
          <w:tcPr>
            <w:tcW w:type="dxa" w:w="268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حالة الضيف/المتصفح؛ سجلات مدعومة بـAPI</w:t>
            </w:r>
          </w:p>
        </w:tc>
      </w:tr>
      <w:tr>
        <w:trPr>
          <w:cantSplit/>
        </w:trPr>
        <w:tc>
          <w:tcPr>
            <w:tcW w:type="dxa" w:w="13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‎API‎</w:t>
            </w:r>
          </w:p>
        </w:tc>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‎/api/v1 • 4000‎</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قواعد الأعمال والمصادقة والبيانات والمزودون والوقت الحقيقي والمهام</w:t>
            </w:r>
          </w:p>
        </w:tc>
        <w:tc>
          <w:tcPr>
            <w:tcW w:type="dxa" w:w="268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ذو حالة عبر قاعدة البيانات وRedis والملفات والخرائط داخل العملية والجداول</w:t>
            </w:r>
          </w:p>
        </w:tc>
      </w:tr>
      <w:tr>
        <w:trPr>
          <w:cantSplit/>
        </w:trPr>
        <w:tc>
          <w:tcPr>
            <w:tcW w:type="dxa" w:w="13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‎PostgreSQL‎</w:t>
            </w:r>
          </w:p>
        </w:tc>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البنية التحتية</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نظام السجل</w:t>
            </w:r>
          </w:p>
        </w:tc>
        <w:tc>
          <w:tcPr>
            <w:tcW w:type="dxa" w:w="268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حالة علائقية مشتركة</w:t>
            </w:r>
          </w:p>
        </w:tc>
      </w:tr>
      <w:tr>
        <w:trPr>
          <w:cantSplit/>
        </w:trPr>
        <w:tc>
          <w:tcPr>
            <w:tcW w:type="dxa" w:w="13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‎Redis‎</w:t>
            </w:r>
          </w:p>
        </w:tc>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البنية التحتية</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نشر/اشتراك الإشعارات</w:t>
            </w:r>
          </w:p>
        </w:tc>
        <w:tc>
          <w:tcPr>
            <w:tcW w:type="dxa" w:w="268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قناة مؤقتة مشتركة؛ لا تُستخدم لكل التنسيق</w:t>
            </w:r>
          </w:p>
        </w:tc>
      </w:tr>
      <w:tr>
        <w:trPr>
          <w:cantSplit/>
        </w:trPr>
        <w:tc>
          <w:tcPr>
            <w:tcW w:type="dxa" w:w="13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جذر الملفات</w:t>
            </w:r>
          </w:p>
        </w:tc>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نظام ملفات مركب</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ملفات/مستندات مرفوعة عامة وخاصة</w:t>
            </w:r>
          </w:p>
        </w:tc>
        <w:tc>
          <w:tcPr>
            <w:tcW w:type="dxa" w:w="268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يلزم مسار محلي/مشترك مرئي لـNode</w:t>
            </w:r>
          </w:p>
        </w:tc>
      </w:tr>
    </w:tbl>
    <w:p>
      <w:pPr>
        <w:spacing w:after="20"/>
        <w:bidi/>
        <w:jc w:val="right"/>
      </w:pPr>
    </w:p>
    <w:p>
      <w:pPr>
        <w:pStyle w:val="Heading2"/>
        <w:bidi/>
        <w:jc w:val="right"/>
      </w:pPr>
      <w:r>
        <w:rPr>
          <w:rFonts w:ascii="DejaVu Sans" w:hAnsi="DejaVu Sans" w:cs="DejaVu Sans" w:eastAsia="DejaVu Sans"/>
          <w:lang w:val="ar-MA" w:eastAsia="ar-MA" w:bidi="ar-MA"/>
          <w:rtl/>
        </w:rPr>
        <w:t>لماذا هذا الشكل مناسب حالياً</w:t>
      </w:r>
    </w:p>
    <w:p>
      <w:pPr>
        <w:keepLines/>
        <w:numPr>
          <w:ilvl w:val="0"/>
          <w:numId w:val="10"/>
        </w:numPr>
        <w:spacing w:after="160" w:line="280" w:lineRule="auto"/>
        <w:bidi/>
        <w:jc w:val="right"/>
      </w:pPr>
      <w:r>
        <w:rPr>
          <w:rFonts w:ascii="DejaVu Sans" w:hAnsi="DejaVu Sans" w:cs="DejaVu Sans" w:eastAsia="DejaVu Sans"/>
          <w:lang w:val="ar-MA" w:eastAsia="ar-MA" w:bidi="ar-MA"/>
          <w:rtl/>
        </w:rPr>
        <w:t>المجال معاملاتي وعلائقي؛ ووجود API واحدة وقاعدة بيانات واحدة يبسط الاتساق عبر تدفقات الحجز والتسعير والدفع والمستندات.</w:t>
      </w:r>
    </w:p>
    <w:p>
      <w:pPr>
        <w:keepLines/>
        <w:numPr>
          <w:ilvl w:val="0"/>
          <w:numId w:val="10"/>
        </w:numPr>
        <w:spacing w:after="160" w:line="280" w:lineRule="auto"/>
        <w:bidi/>
        <w:jc w:val="right"/>
      </w:pPr>
      <w:r>
        <w:rPr>
          <w:rFonts w:ascii="DejaVu Sans" w:hAnsi="DejaVu Sans" w:cs="DejaVu Sans" w:eastAsia="DejaVu Sans"/>
          <w:lang w:val="ar-MA" w:eastAsia="ar-MA" w:bidi="ar-MA"/>
          <w:rtl/>
        </w:rPr>
        <w:t>تفصل واجهات مستقلة موجهة لفئات مختلفة مخاوف التنقل والإصدار من دون إدخال تعقيد معاملات عابرة للخدمات.</w:t>
      </w:r>
    </w:p>
    <w:p>
      <w:pPr>
        <w:keepLines/>
        <w:numPr>
          <w:ilvl w:val="0"/>
          <w:numId w:val="10"/>
        </w:numPr>
        <w:spacing w:after="160" w:line="280" w:lineRule="auto"/>
        <w:bidi/>
        <w:jc w:val="right"/>
      </w:pPr>
      <w:r>
        <w:rPr>
          <w:rFonts w:ascii="DejaVu Sans" w:hAnsi="DejaVu Sans" w:cs="DejaVu Sans" w:eastAsia="DejaVu Sans"/>
          <w:lang w:val="ar-MA" w:eastAsia="ar-MA" w:bidi="ar-MA"/>
          <w:rtl/>
        </w:rPr>
        <w:t>يوفر الفصل على مستوى الوحدة بين المسار والمخطط والخدمة والمستودع طريقاً للفصل مستقبلاً إذا برره الحمل المقاس أو الامتثال أو ملكية الفرق.</w:t>
      </w:r>
    </w:p>
    <w:p>
      <w:pPr>
        <w:pStyle w:val="Heading2"/>
        <w:bidi/>
        <w:jc w:val="right"/>
      </w:pPr>
      <w:r>
        <w:rPr>
          <w:rFonts w:ascii="DejaVu Sans" w:hAnsi="DejaVu Sans" w:cs="DejaVu Sans" w:eastAsia="DejaVu Sans"/>
          <w:lang w:val="ar-MA" w:eastAsia="ar-MA" w:bidi="ar-MA"/>
          <w:rtl/>
        </w:rPr>
        <w:t>متى يصبح هذا الشكل غير آمن</w:t>
      </w:r>
    </w:p>
    <w:p>
      <w:pPr>
        <w:keepLines/>
        <w:numPr>
          <w:ilvl w:val="0"/>
          <w:numId w:val="10"/>
        </w:numPr>
        <w:spacing w:after="160" w:line="280" w:lineRule="auto"/>
        <w:bidi/>
        <w:jc w:val="right"/>
      </w:pPr>
      <w:r>
        <w:rPr>
          <w:rFonts w:ascii="DejaVu Sans" w:hAnsi="DejaVu Sans" w:cs="DejaVu Sans" w:eastAsia="DejaVu Sans"/>
          <w:lang w:val="ar-MA" w:eastAsia="ar-MA" w:bidi="ar-MA"/>
          <w:rtl/>
        </w:rPr>
        <w:t>تشغّل كل نسخة من API جداول node-cron نفسها، لذلك قد تكرر النسخ المتعددة الأعمال الزمنية ما لم تكن كل عملية شديدة اللاتكرار أو تُنقل القيادة إلى خارج العملية.</w:t>
      </w:r>
    </w:p>
    <w:p>
      <w:pPr>
        <w:keepLines/>
        <w:numPr>
          <w:ilvl w:val="0"/>
          <w:numId w:val="10"/>
        </w:numPr>
        <w:spacing w:after="160" w:line="280" w:lineRule="auto"/>
        <w:bidi/>
        <w:jc w:val="right"/>
      </w:pPr>
      <w:r>
        <w:rPr>
          <w:rFonts w:ascii="DejaVu Sans" w:hAnsi="DejaVu Sans" w:cs="DejaVu Sans" w:eastAsia="DejaVu Sans"/>
          <w:lang w:val="ar-MA" w:eastAsia="ar-MA" w:bidi="ar-MA"/>
          <w:rtl/>
        </w:rPr>
        <w:t>يربط التخزين على نظام الملفات المحلي والتنسيق في ذاكرة العملية صحة السلوك بوقت تشغيل واحد أو ببنية مشتركة غير موثقة.</w:t>
      </w:r>
    </w:p>
    <w:p>
      <w:pPr>
        <w:keepLines/>
        <w:numPr>
          <w:ilvl w:val="0"/>
          <w:numId w:val="10"/>
        </w:numPr>
        <w:spacing w:after="160" w:line="280" w:lineRule="auto"/>
        <w:bidi/>
        <w:jc w:val="right"/>
      </w:pPr>
      <w:r>
        <w:rPr>
          <w:rFonts w:ascii="DejaVu Sans" w:hAnsi="DejaVu Sans" w:cs="DejaVu Sans" w:eastAsia="DejaVu Sans"/>
          <w:lang w:val="ar-MA" w:eastAsia="ar-MA" w:bidi="ar-MA"/>
          <w:rtl/>
        </w:rPr>
        <w:t>ينشئ صندوق صادر للإشعارات بلا موزع نية دائمة، لكنه لا يحقق تسليماً دائماً.</w:t>
      </w:r>
    </w:p>
    <w:p>
      <w:pPr>
        <w:keepLines/>
        <w:numPr>
          <w:ilvl w:val="0"/>
          <w:numId w:val="10"/>
        </w:numPr>
        <w:spacing w:after="160" w:line="280" w:lineRule="auto"/>
        <w:bidi/>
        <w:jc w:val="right"/>
      </w:pPr>
      <w:r>
        <w:rPr>
          <w:rFonts w:ascii="DejaVu Sans" w:hAnsi="DejaVu Sans" w:cs="DejaVu Sans" w:eastAsia="DejaVu Sans"/>
          <w:lang w:val="ar-MA" w:eastAsia="ar-MA" w:bidi="ar-MA"/>
          <w:rtl/>
        </w:rPr>
        <w:t>إن ربط منطق إدارة الحاويات بـ API وخدمة Docker سيخلط مستوى بيانات الأعمال بمستوى تحكم بنية تحتية ذي امتيازات عالية.</w:t>
      </w:r>
    </w:p>
    <w:p>
      <w:pPr>
        <w:pStyle w:val="Heading1"/>
        <w:bidi/>
        <w:jc w:val="right"/>
      </w:pPr>
      <w:r>
        <w:rPr>
          <w:rFonts w:ascii="DejaVu Sans" w:hAnsi="DejaVu Sans" w:cs="DejaVu Sans" w:eastAsia="DejaVu Sans"/>
          <w:lang w:val="ar-MA" w:eastAsia="ar-MA" w:bidi="ar-MA"/>
          <w:rtl/>
        </w:rPr>
        <w:t>3. تصميم المستودع والمكونات</w:t>
      </w:r>
    </w:p>
    <w:p>
      <w:pPr>
        <w:pStyle w:val="Heading2"/>
        <w:bidi/>
        <w:jc w:val="right"/>
      </w:pPr>
      <w:r>
        <w:rPr>
          <w:rFonts w:ascii="DejaVu Sans" w:hAnsi="DejaVu Sans" w:cs="DejaVu Sans" w:eastAsia="DejaVu Sans"/>
          <w:lang w:val="ar-MA" w:eastAsia="ar-MA" w:bidi="ar-MA"/>
          <w:rtl/>
        </w:rPr>
        <w:t>هيكل المستودع الأحادي</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900"/>
        <w:gridCol w:w="1700"/>
        <w:gridCol w:w="5760"/>
      </w:tblGrid>
      <w:tr>
        <w:trPr>
          <w:tblHeader w:val="true"/>
          <w:cantSplit/>
        </w:trPr>
        <w:tc>
          <w:tcPr>
            <w:tcW w:type="dxa" w:w="19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المسار</w:t>
            </w:r>
          </w:p>
        </w:tc>
        <w:tc>
          <w:tcPr>
            <w:tcW w:type="dxa" w:w="17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الدور</w:t>
            </w:r>
          </w:p>
        </w:tc>
        <w:tc>
          <w:tcPr>
            <w:tcW w:type="dxa" w:w="57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التصميم المرصود</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‎apps/homepage‎</w:t>
            </w:r>
          </w:p>
        </w:tc>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الاستحواذ العام</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Next.js 16 وReact 19 ووحدات CSS ومحتوى/إعداد موطن وإعادة كتابة مسارات.</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‎apps/dashboard‎</w:t>
            </w:r>
          </w:p>
        </w:tc>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مساحة عمل المستأجر</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Next.js 16 وTailwind وRecharts وعميل Socket.IO وbasePath /dashboard.</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‎apps/admin‎</w:t>
            </w:r>
          </w:p>
        </w:tc>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تحكم المنصة</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Next.js 16 وTailwind وRecharts وbasePath /admin.</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‎apps/carplace‎</w:t>
            </w:r>
          </w:p>
        </w:tc>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السوق</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Next.js 16 وTailwind وبحث موطن وحجز تدريجي.</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‎apps/api‎</w:t>
            </w:r>
          </w:p>
        </w:tc>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الخلفية</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Express 4 وTypeScript وSocket.IO وZod ومجلدات مجال معيارية.</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‎packages/database‎</w:t>
            </w:r>
          </w:p>
        </w:tc>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التخزين الدائم</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مخطط Prisma 5 وترحيلات وعميل مولد.</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‎packages/types‎</w:t>
            </w:r>
          </w:p>
        </w:tc>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عقود مشتركة</w:t>
            </w:r>
          </w:p>
        </w:tc>
        <w:tc>
          <w:tcPr>
            <w:tcW w:type="dxa" w:w="5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أنواع API/الأضرار/الوقود/السوق وثوابت التسعير.</w:t>
            </w:r>
          </w:p>
        </w:tc>
      </w:tr>
    </w:tbl>
    <w:p>
      <w:pPr>
        <w:spacing w:after="20"/>
        <w:bidi/>
        <w:jc w:val="right"/>
      </w:pPr>
    </w:p>
    <w:p>
      <w:pPr>
        <w:pStyle w:val="Heading2"/>
        <w:bidi/>
        <w:jc w:val="right"/>
      </w:pPr>
      <w:r>
        <w:rPr>
          <w:rFonts w:ascii="DejaVu Sans" w:hAnsi="DejaVu Sans" w:cs="DejaVu Sans" w:eastAsia="DejaVu Sans"/>
          <w:lang w:val="ar-MA" w:eastAsia="ar-MA" w:bidi="ar-MA"/>
          <w:rtl/>
        </w:rPr>
        <w:t>تصميم البناء والحزم</w:t>
      </w:r>
    </w:p>
    <w:p>
      <w:pPr>
        <w:keepLines w:val="0"/>
        <w:bidi/>
        <w:jc w:val="right"/>
      </w:pPr>
      <w:r>
        <w:rPr>
          <w:rFonts w:ascii="DejaVu Sans" w:hAnsi="DejaVu Sans" w:cs="DejaVu Sans" w:eastAsia="DejaVu Sans"/>
          <w:b w:val="0"/>
          <w:i w:val="0"/>
          <w:lang w:val="ar-MA" w:eastAsia="ar-MA" w:bidi="ar-MA"/>
          <w:rtl/>
        </w:rPr>
        <w:t>يعلن الجذر مساحات عمل npm وتنسيق Turbo، مع Node ≥20 وnpm ≥10 وnpm@10.5.0. وتبني البرامج النصية للتطبيقات عادة حزمة الأنواع المشتركة مسبقاً قبل البناء أو التشغيل أو فحص الأنواع أو الاختبار. هذا هيكل صالح، لكن الحزمة كما قُدمت لا تستطيع تنفيذ سير العمل المعلن.</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2200"/>
        <w:gridCol w:w="3670"/>
        <w:gridCol w:w="3490"/>
      </w:tblGrid>
      <w:tr>
        <w:trPr>
          <w:tblHeader w:val="true"/>
          <w:cantSplit/>
        </w:trPr>
        <w:tc>
          <w:tcPr>
            <w:tcW w:type="dxa" w:w="22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الاعتمادية المعلنة</w:t>
            </w:r>
          </w:p>
        </w:tc>
        <w:tc>
          <w:tcPr>
            <w:tcW w:type="dxa" w:w="367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دليل الحزمة</w:t>
            </w:r>
          </w:p>
        </w:tc>
        <w:tc>
          <w:tcPr>
            <w:tcW w:type="dxa" w:w="349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نتيجة العناية الواجبة</w:t>
            </w:r>
          </w:p>
        </w:tc>
      </w:tr>
      <w:tr>
        <w:trPr>
          <w:cantSplit/>
        </w:trPr>
        <w:tc>
          <w:tcPr>
            <w:tcW w:type="dxa" w:w="22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‎turbo.json‎</w:t>
            </w:r>
          </w:p>
        </w:tc>
        <w:tc>
          <w:tcPr>
            <w:tcW w:type="dxa" w:w="367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تستدعي برامج الجذر النصية مهام turbo build وdev وlint وtype-check وقاعدة البيانات.</w:t>
            </w:r>
          </w:p>
        </w:tc>
        <w:tc>
          <w:tcPr>
            <w:tcW w:type="dxa" w:w="349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غائب؛ يفشل فحص الأنواع الجذري قبل المرور بمساحات العمل.</w:t>
            </w:r>
          </w:p>
        </w:tc>
      </w:tr>
      <w:tr>
        <w:trPr>
          <w:cantSplit/>
        </w:trPr>
        <w:tc>
          <w:tcPr>
            <w:tcW w:type="dxa" w:w="22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‎tsconfig.base.json‎</w:t>
            </w:r>
          </w:p>
        </w:tc>
        <w:tc>
          <w:tcPr>
            <w:tcW w:type="dxa" w:w="367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تمتد إعدادات TypeScript لمساحات العمل من القاعدة الجذرية.</w:t>
            </w:r>
          </w:p>
        </w:tc>
        <w:tc>
          <w:tcPr>
            <w:tcW w:type="dxa" w:w="349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غائب؛ لا تستطيع الأنواع المشتركة وفحوص أنواع التطبيقات حل الإعداد الأساسي.</w:t>
            </w:r>
          </w:p>
        </w:tc>
      </w:tr>
      <w:tr>
        <w:trPr>
          <w:cantSplit/>
        </w:trPr>
        <w:tc>
          <w:tcPr>
            <w:tcW w:type="dxa" w:w="22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‎scripts/‎</w:t>
            </w:r>
          </w:p>
        </w:tc>
        <w:tc>
          <w:tcPr>
            <w:tcW w:type="dxa" w:w="367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تشير برامج الجذر وAPI النصية إلى تحميل البيئة ونشر الإنتاج والنسخ الاحتياطي/الاستعادة والفحص الأمني وإعداد الإدارة.</w:t>
            </w:r>
          </w:p>
        </w:tc>
        <w:tc>
          <w:tcPr>
            <w:tcW w:type="dxa" w:w="349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غائبة؛ الأوامر التشغيلية المشار إليها غير قابلة لإعادة الإنتاج.</w:t>
            </w:r>
          </w:p>
        </w:tc>
      </w:tr>
      <w:tr>
        <w:trPr>
          <w:cantSplit/>
        </w:trPr>
        <w:tc>
          <w:tcPr>
            <w:tcW w:type="dxa" w:w="22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ملفات Compose</w:t>
            </w:r>
          </w:p>
        </w:tc>
        <w:tc>
          <w:tcPr>
            <w:tcW w:type="dxa" w:w="367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تشير برامج الجذر النصية إلى ملفات Compose للتطوير والإنتاج.</w:t>
            </w:r>
          </w:p>
        </w:tc>
        <w:tc>
          <w:tcPr>
            <w:tcW w:type="dxa" w:w="349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غائبة؛ لا يمكن التحقق من الطوبولوجيا المحلية والإنتاجية المقصودة.</w:t>
            </w:r>
          </w:p>
        </w:tc>
      </w:tr>
      <w:tr>
        <w:trPr>
          <w:cantSplit/>
        </w:trPr>
        <w:tc>
          <w:tcPr>
            <w:tcW w:type="dxa" w:w="22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إعداد CI</w:t>
            </w:r>
          </w:p>
        </w:tc>
        <w:tc>
          <w:tcPr>
            <w:tcW w:type="dxa" w:w="367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يفترض أن يثبت عادة بوابات lint/الأنواع/البناء/الاختبار/التدقيق.</w:t>
            </w:r>
          </w:p>
        </w:tc>
        <w:tc>
          <w:tcPr>
            <w:tcW w:type="dxa" w:w="349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لم يُقدم سير .github أو تعريف CI مكافئ.</w:t>
            </w:r>
          </w:p>
        </w:tc>
      </w:tr>
    </w:tbl>
    <w:p>
      <w:pPr>
        <w:spacing w:after="20"/>
        <w:bidi/>
        <w:jc w:val="right"/>
      </w:pPr>
    </w:p>
    <w:p>
      <w:pPr>
        <w:pStyle w:val="Heading2"/>
        <w:bidi/>
        <w:jc w:val="right"/>
      </w:pPr>
      <w:r>
        <w:rPr>
          <w:rFonts w:ascii="DejaVu Sans" w:hAnsi="DejaVu Sans" w:cs="DejaVu Sans" w:eastAsia="DejaVu Sans"/>
          <w:lang w:val="ar-MA" w:eastAsia="ar-MA" w:bidi="ar-MA"/>
          <w:rtl/>
        </w:rPr>
        <w:t>نظافة المستودع</w:t>
      </w:r>
    </w:p>
    <w:p>
      <w:pPr>
        <w:keepLines w:val="0"/>
        <w:bidi/>
        <w:jc w:val="right"/>
      </w:pPr>
      <w:r>
        <w:rPr>
          <w:rFonts w:ascii="DejaVu Sans" w:hAnsi="DejaVu Sans" w:cs="DejaVu Sans" w:eastAsia="DejaVu Sans"/>
          <w:b w:val="0"/>
          <w:i w:val="0"/>
          <w:lang w:val="ar-MA" w:eastAsia="ar-MA" w:bidi="ar-MA"/>
          <w:rtl/>
        </w:rPr>
        <w:t>احتوى ملف ZIP المقدم على node_modules ومخرجات .next وآثار Prisma مولدة وملفات معلومات بناء TypeScript ومواد أخرى مجمعة أو مخزنة مؤقتاً. يزيد ذلك حجم الحزمة ويطمس المصدر وقد يجعل نتائج الاعتماديات أو البناء مرتبطة بمنصة معينة. ينبغي أن تحتوي قطعة الإصدار إما على المصدر مع ملف قفل وسلسلة أدوات قابلة لإعادة الإنتاج، أو على صور بناء ثابتة مع SBOM، لا على خليط من المصدر والذاكرات المؤقتة ومخرجات جهاز المطور.</w:t>
      </w:r>
    </w:p>
    <w:p>
      <w:pPr>
        <w:keepLines/>
        <w:spacing w:before="100" w:after="200"/>
        <w:ind w:left="173" w:right="115"/>
        <w:shd w:fill="FDECEC"/>
        <w:pBdr>
          <w:left w:val="single" w:sz="20" w:space="8" w:color="9B1C1C"/>
        </w:pBdr>
        <w:bidi/>
        <w:jc w:val="right"/>
      </w:pPr>
      <w:r>
        <w:rPr>
          <w:rFonts w:ascii="DejaVu Sans" w:hAnsi="DejaVu Sans" w:cs="DejaVu Sans" w:eastAsia="DejaVu Sans"/>
          <w:b/>
          <w:color w:val="9B1C1C"/>
          <w:lang w:val="ar-MA" w:eastAsia="ar-MA" w:bidi="ar-MA"/>
          <w:rtl/>
        </w:rPr>
        <w:t xml:space="preserve">بوابة العناية الواجبة  </w:t>
      </w:r>
      <w:r>
        <w:rPr>
          <w:rFonts w:ascii="DejaVu Sans" w:hAnsi="DejaVu Sans" w:cs="DejaVu Sans" w:eastAsia="DejaVu Sans"/>
          <w:color w:val="101828"/>
          <w:lang w:val="ar-MA" w:eastAsia="ar-MA" w:bidi="ar-MA"/>
          <w:rtl/>
        </w:rPr>
        <w:t>اطلبوا تصديراً نظيفاً للمصدر أو وصولاً إلى المستودع، ثم أعيدوا إنتاج التثبيت والتوليد وlint وفحص الأنواع والاختبارات والبناء وإنشاء الصور والترحيل والنشر والنسخ الاحتياطي والاستعادة من مشغل جديد.</w:t>
      </w:r>
    </w:p>
    <w:p>
      <w:pPr>
        <w:pStyle w:val="Heading1"/>
        <w:bidi/>
        <w:jc w:val="right"/>
      </w:pPr>
      <w:r>
        <w:rPr>
          <w:rFonts w:ascii="DejaVu Sans" w:hAnsi="DejaVu Sans" w:cs="DejaVu Sans" w:eastAsia="DejaVu Sans"/>
          <w:lang w:val="ar-MA" w:eastAsia="ar-MA" w:bidi="ar-MA"/>
          <w:rtl/>
        </w:rPr>
        <w:t>4. تصميم تطبيقات الواجهة</w:t>
      </w:r>
    </w:p>
    <w:p>
      <w:pPr>
        <w:pStyle w:val="Heading2"/>
        <w:bidi/>
        <w:jc w:val="right"/>
      </w:pPr>
      <w:r>
        <w:rPr>
          <w:rFonts w:ascii="DejaVu Sans" w:hAnsi="DejaVu Sans" w:cs="DejaVu Sans" w:eastAsia="DejaVu Sans"/>
          <w:lang w:val="ar-MA" w:eastAsia="ar-MA" w:bidi="ar-MA"/>
          <w:rtl/>
        </w:rPr>
        <w:t>4.1 الصفحة الرئيسية والحافة العامة</w:t>
      </w:r>
    </w:p>
    <w:p>
      <w:pPr>
        <w:keepLines w:val="0"/>
        <w:bidi/>
        <w:jc w:val="right"/>
      </w:pPr>
      <w:r>
        <w:rPr>
          <w:rFonts w:ascii="DejaVu Sans" w:hAnsi="DejaVu Sans" w:cs="DejaVu Sans" w:eastAsia="DejaVu Sans"/>
          <w:b w:val="0"/>
          <w:i w:val="0"/>
          <w:lang w:val="ar-MA" w:eastAsia="ar-MA" w:bidi="ar-MA"/>
          <w:rtl/>
        </w:rPr>
        <w:t>الصفحة الرئيسية أكثر من صفحة هبوط ثابتة؛ فهي موجه الأصل العام وتضم نقاط دخول موحدة لتسجيل الدخول، والتوطين، وتفضيل السمة، وإعداد المنتج، وإعادة كتابة الوكيل نحو API وثلاثة تطبيقات تابعة. وتتكون صفحتها الرئيسية من اثني عشر قسماً رئيسياً: الواجهة البارزة، والثقة، والمقارنة، وسير العمل، والأدوار، والوحدات، والنتائج، والتكاملات، والأمن، والتسعير، والأسئلة الشائعة، والدعوة الختامية إلى الإجراء.</w:t>
      </w:r>
    </w:p>
    <w:p>
      <w:pPr>
        <w:keepLines/>
        <w:numPr>
          <w:ilvl w:val="0"/>
          <w:numId w:val="10"/>
        </w:numPr>
        <w:spacing w:after="160" w:line="280" w:lineRule="auto"/>
        <w:bidi/>
        <w:jc w:val="right"/>
      </w:pPr>
      <w:r>
        <w:rPr>
          <w:rFonts w:ascii="DejaVu Sans" w:hAnsi="DejaVu Sans" w:cs="DejaVu Sans" w:eastAsia="DejaVu Sans"/>
          <w:lang w:val="ar-MA" w:eastAsia="ar-MA" w:bidi="ar-MA"/>
          <w:rtl/>
        </w:rPr>
        <w:t>نظام التصميم: وحدات CSS ورموز/مكونات مخصصة، منفصلة عن أنظمة Tailwind المستخدمة في بقية التطبيقات.</w:t>
      </w:r>
    </w:p>
    <w:p>
      <w:pPr>
        <w:keepLines/>
        <w:numPr>
          <w:ilvl w:val="0"/>
          <w:numId w:val="10"/>
        </w:numPr>
        <w:spacing w:after="160" w:line="280" w:lineRule="auto"/>
        <w:bidi/>
        <w:jc w:val="right"/>
      </w:pPr>
      <w:r>
        <w:rPr>
          <w:rFonts w:ascii="DejaVu Sans" w:hAnsi="DejaVu Sans" w:cs="DejaVu Sans" w:eastAsia="DejaVu Sans"/>
          <w:lang w:val="ar-MA" w:eastAsia="ar-MA" w:bidi="ar-MA"/>
          <w:rtl/>
        </w:rPr>
        <w:t>التدويل: محتوى بالإنجليزية والفرنسية والعربية مع دعم RTL وسلوك تفضيلات موطَّن.</w:t>
      </w:r>
    </w:p>
    <w:p>
      <w:pPr>
        <w:keepLines/>
        <w:numPr>
          <w:ilvl w:val="0"/>
          <w:numId w:val="10"/>
        </w:numPr>
        <w:spacing w:after="160" w:line="280" w:lineRule="auto"/>
        <w:bidi/>
        <w:jc w:val="right"/>
      </w:pPr>
      <w:r>
        <w:rPr>
          <w:rFonts w:ascii="DejaVu Sans" w:hAnsi="DejaVu Sans" w:cs="DejaVu Sans" w:eastAsia="DejaVu Sans"/>
          <w:lang w:val="ar-MA" w:eastAsia="ar-MA" w:bidi="ar-MA"/>
          <w:rtl/>
        </w:rPr>
        <w:t>نية الجودة: توجد اختبارات وحدات/تكامل، وإعداد Playwright، واختبارات إتاحة باستخدام axe.</w:t>
      </w:r>
    </w:p>
    <w:p>
      <w:pPr>
        <w:keepLines/>
        <w:numPr>
          <w:ilvl w:val="0"/>
          <w:numId w:val="10"/>
        </w:numPr>
        <w:spacing w:after="160" w:line="280" w:lineRule="auto"/>
        <w:bidi/>
        <w:jc w:val="right"/>
      </w:pPr>
      <w:r>
        <w:rPr>
          <w:rFonts w:ascii="DejaVu Sans" w:hAnsi="DejaVu Sans" w:cs="DejaVu Sans" w:eastAsia="DejaVu Sans"/>
          <w:lang w:val="ar-MA" w:eastAsia="ar-MA" w:bidi="ar-MA"/>
          <w:rtl/>
        </w:rPr>
        <w:t>حالة lint الحالية: أبلغ التشغيل المضبوط عن 3 أخطاء و4 تحذيرات، منها تحديث متزامن للحالة مدفوع بتأثير واستخدام صريح للنوع any.</w:t>
      </w:r>
    </w:p>
    <w:p>
      <w:pPr>
        <w:pStyle w:val="Heading2"/>
        <w:bidi/>
        <w:jc w:val="right"/>
      </w:pPr>
      <w:r>
        <w:rPr>
          <w:rFonts w:ascii="DejaVu Sans" w:hAnsi="DejaVu Sans" w:cs="DejaVu Sans" w:eastAsia="DejaVu Sans"/>
          <w:lang w:val="ar-MA" w:eastAsia="ar-MA" w:bidi="ar-MA"/>
          <w:rtl/>
        </w:rPr>
        <w:t>4.2 لوحة معلومات المستأجر</w:t>
      </w:r>
    </w:p>
    <w:p>
      <w:pPr>
        <w:keepLines w:val="0"/>
        <w:bidi/>
        <w:jc w:val="right"/>
      </w:pPr>
      <w:r>
        <w:rPr>
          <w:rFonts w:ascii="DejaVu Sans" w:hAnsi="DejaVu Sans" w:cs="DejaVu Sans" w:eastAsia="DejaVu Sans"/>
          <w:b w:val="0"/>
          <w:i w:val="0"/>
          <w:lang w:val="ar-MA" w:eastAsia="ar-MA" w:bidi="ar-MA"/>
          <w:rtl/>
        </w:rPr>
        <w:t>لوحة المعلومات هي المركز التشغيلي لشركات التأجير. تستخدم المسار الأساسي /dashboard وملف تعريف ارتباط HttpOnly للموظف وبوابات مسارات في البرمجية الوسيطة وحارس وصول في العميل ووكيل API داخلياً. وتضم هيكل تنقل دائماً وتنسيقاً على مستوى الصفحات للأسطول والحجوزات والحجوزات عبر الإنترنت والعملاء والعقود والفوترة والعروض والفريق والتقارير والمراجعات والشكاوى والإشعارات والبحث والإعدادات والاشتراك.</w:t>
      </w:r>
    </w:p>
    <w:p>
      <w:pPr>
        <w:keepLines/>
        <w:numPr>
          <w:ilvl w:val="0"/>
          <w:numId w:val="10"/>
        </w:numPr>
        <w:spacing w:after="160" w:line="280" w:lineRule="auto"/>
        <w:bidi/>
        <w:jc w:val="right"/>
      </w:pPr>
      <w:r>
        <w:rPr>
          <w:rFonts w:ascii="DejaVu Sans" w:hAnsi="DejaVu Sans" w:cs="DejaVu Sans" w:eastAsia="DejaVu Sans"/>
          <w:lang w:val="ar-MA" w:eastAsia="ar-MA" w:bidi="ar-MA"/>
          <w:rtl/>
        </w:rPr>
        <w:t>نقطة قوة: يتطابق اتساع المنتج بدرجة كبيرة مع نموذج البيانات الأساسي ووحدات API.</w:t>
      </w:r>
    </w:p>
    <w:p>
      <w:pPr>
        <w:keepLines/>
        <w:numPr>
          <w:ilvl w:val="0"/>
          <w:numId w:val="10"/>
        </w:numPr>
        <w:spacing w:after="160" w:line="280" w:lineRule="auto"/>
        <w:bidi/>
        <w:jc w:val="right"/>
      </w:pPr>
      <w:r>
        <w:rPr>
          <w:rFonts w:ascii="DejaVu Sans" w:hAnsi="DejaVu Sans" w:cs="DejaVu Sans" w:eastAsia="DejaVu Sans"/>
          <w:lang w:val="ar-MA" w:eastAsia="ar-MA" w:bidi="ar-MA"/>
          <w:rtl/>
        </w:rPr>
        <w:t>خطر: تنسق مكونات صفحات كبيرة عديدة حالة الشبكة وعرض الأعمال مباشرة؛ ولا تُركز اتفاقيات الاستعلام والنماذج والأخطاء المشتركة في حزمة واجهة/بيانات عابرة للتطبيقات.</w:t>
      </w:r>
    </w:p>
    <w:p>
      <w:pPr>
        <w:keepLines/>
        <w:numPr>
          <w:ilvl w:val="0"/>
          <w:numId w:val="10"/>
        </w:numPr>
        <w:spacing w:after="160" w:line="280" w:lineRule="auto"/>
        <w:bidi/>
        <w:jc w:val="right"/>
      </w:pPr>
      <w:r>
        <w:rPr>
          <w:rFonts w:ascii="DejaVu Sans" w:hAnsi="DejaVu Sans" w:cs="DejaVu Sans" w:eastAsia="DejaVu Sans"/>
          <w:lang w:val="ar-MA" w:eastAsia="ar-MA" w:bidi="ar-MA"/>
          <w:rtl/>
        </w:rPr>
        <w:t>انحراف التوثيق: يشير README الداخلي إلى Next.js 14 / React 18 بينما تعلن بيانات الحزم Next.js 16.2.9 / React 19.2.</w:t>
      </w:r>
    </w:p>
    <w:p>
      <w:pPr>
        <w:pStyle w:val="Heading2"/>
        <w:bidi/>
        <w:jc w:val="right"/>
      </w:pPr>
      <w:r>
        <w:rPr>
          <w:rFonts w:ascii="DejaVu Sans" w:hAnsi="DejaVu Sans" w:cs="DejaVu Sans" w:eastAsia="DejaVu Sans"/>
          <w:lang w:val="ar-MA" w:eastAsia="ar-MA" w:bidi="ar-MA"/>
          <w:rtl/>
        </w:rPr>
        <w:t>4.3 إدارة المنصة</w:t>
      </w:r>
    </w:p>
    <w:p>
      <w:pPr>
        <w:keepLines w:val="0"/>
        <w:bidi/>
        <w:jc w:val="right"/>
      </w:pPr>
      <w:r>
        <w:rPr>
          <w:rFonts w:ascii="DejaVu Sans" w:hAnsi="DejaVu Sans" w:cs="DejaVu Sans" w:eastAsia="DejaVu Sans"/>
          <w:b w:val="0"/>
          <w:i w:val="0"/>
          <w:lang w:val="ar-MA" w:eastAsia="ar-MA" w:bidi="ar-MA"/>
          <w:rtl/>
        </w:rPr>
        <w:t>يفصل تطبيق الإدارة وظائف المشغل العامة عن وظائف المستأجرين. ويشمل تنقله الشركات والمستأجرين والمستخدمين الإداريين وسجلات التدقيق والفوترة والتسعير وإدارة القوائم وإعداد الموقع والإشعارات. وتفرض مسارات الخلفية الأدوار الإدارية وقواعد العاملين؛ كما يجري تخطيط الواجهة فحص مصادقة في جهة العميل لتحسين تجربة الوصول.</w:t>
      </w:r>
    </w:p>
    <w:p>
      <w:pPr>
        <w:keepLines/>
        <w:spacing w:before="100" w:after="200"/>
        <w:ind w:left="173" w:right="115"/>
        <w:shd w:fill="FDECEC"/>
        <w:pBdr>
          <w:left w:val="single" w:sz="20" w:space="8" w:color="9B1C1C"/>
        </w:pBdr>
        <w:bidi/>
        <w:jc w:val="right"/>
      </w:pPr>
      <w:r>
        <w:rPr>
          <w:rFonts w:ascii="DejaVu Sans" w:hAnsi="DejaVu Sans" w:cs="DejaVu Sans" w:eastAsia="DejaVu Sans"/>
          <w:b/>
          <w:color w:val="9B1C1C"/>
          <w:lang w:val="ar-MA" w:eastAsia="ar-MA" w:bidi="ar-MA"/>
          <w:rtl/>
        </w:rPr>
        <w:t xml:space="preserve">تباين مهم  </w:t>
      </w:r>
      <w:r>
        <w:rPr>
          <w:rFonts w:ascii="DejaVu Sans" w:hAnsi="DejaVu Sans" w:cs="DejaVu Sans" w:eastAsia="DejaVu Sans"/>
          <w:color w:val="101828"/>
          <w:lang w:val="ar-MA" w:eastAsia="ar-MA" w:bidi="ar-MA"/>
          <w:rtl/>
        </w:rPr>
        <w:t>تعرض واجهة الإدارة منطقة لإدارة الحاويات وتستدعي نقاط نهاية للحاويات، لكن API المراجعة لا تحتوي على مسارات إدارة مطابقة، كما تفتقر قاعدة البيانات إلى نموذج CompanyContainer المتوقع. هذه قدرة شبحية وليست خاصية تشغيلية.</w:t>
      </w:r>
    </w:p>
    <w:p>
      <w:pPr>
        <w:pStyle w:val="Heading2"/>
        <w:bidi/>
        <w:jc w:val="right"/>
      </w:pPr>
      <w:r>
        <w:rPr>
          <w:rFonts w:ascii="DejaVu Sans" w:hAnsi="DejaVu Sans" w:cs="DejaVu Sans" w:eastAsia="DejaVu Sans"/>
          <w:lang w:val="ar-MA" w:eastAsia="ar-MA" w:bidi="ar-MA"/>
          <w:rtl/>
        </w:rPr>
        <w:t>4.4 سوق Carplace</w:t>
      </w:r>
    </w:p>
    <w:p>
      <w:pPr>
        <w:keepLines w:val="0"/>
        <w:bidi/>
        <w:jc w:val="right"/>
      </w:pPr>
      <w:r>
        <w:rPr>
          <w:rFonts w:ascii="DejaVu Sans" w:hAnsi="DejaVu Sans" w:cs="DejaVu Sans" w:eastAsia="DejaVu Sans"/>
          <w:b w:val="0"/>
          <w:i w:val="0"/>
          <w:lang w:val="ar-MA" w:eastAsia="ar-MA" w:bidi="ar-MA"/>
          <w:rtl/>
        </w:rPr>
        <w:t>يوفر Carplace اكتشافاً عاماً عابراً للمستأجرين وطلب حجز تدريجياً. ويدعم البحث وصفحات الشركات والمركبات بالـ slug وخطوات الرحلة/الاتصال/المراجعة والصفحات القانونية والتوطين بالإنجليزية والفرنسية والعربية. السلوك الحالي موجه أساساً للضيف/العامة؛ إذ عُطلت مسارات تسجيل دخول/اشتراك المستأجر رغم وجود حسابات المستأجرين ونماذج الإشعارات في المنصة الأوسع.</w:t>
      </w:r>
    </w:p>
    <w:p>
      <w:pPr>
        <w:keepLines/>
        <w:numPr>
          <w:ilvl w:val="0"/>
          <w:numId w:val="10"/>
        </w:numPr>
        <w:spacing w:after="160" w:line="280" w:lineRule="auto"/>
        <w:bidi/>
        <w:jc w:val="right"/>
      </w:pPr>
      <w:r>
        <w:rPr>
          <w:rFonts w:ascii="DejaVu Sans" w:hAnsi="DejaVu Sans" w:cs="DejaVu Sans" w:eastAsia="DejaVu Sans"/>
          <w:lang w:val="ar-MA" w:eastAsia="ar-MA" w:bidi="ar-MA"/>
          <w:rtl/>
        </w:rPr>
        <w:t>نقطة قوة: اكتشاف السوق منفصل عن عمليات المستأجر ويستخدم مسارات API آمنة للعامة.</w:t>
      </w:r>
    </w:p>
    <w:p>
      <w:pPr>
        <w:keepLines/>
        <w:numPr>
          <w:ilvl w:val="0"/>
          <w:numId w:val="10"/>
        </w:numPr>
        <w:spacing w:after="160" w:line="280" w:lineRule="auto"/>
        <w:bidi/>
        <w:jc w:val="right"/>
      </w:pPr>
      <w:r>
        <w:rPr>
          <w:rFonts w:ascii="DejaVu Sans" w:hAnsi="DejaVu Sans" w:cs="DejaVu Sans" w:eastAsia="DejaVu Sans"/>
          <w:lang w:val="ar-MA" w:eastAsia="ar-MA" w:bidi="ar-MA"/>
          <w:rtl/>
        </w:rPr>
        <w:t>خطر: تُحفظ خاصية عدم التكرار لبعض الحجوزات العامة في خريطة بالذاكرة لمدة 15 دقيقة، وهي غير متسقة بين النسخ وتُفقد عند إعادة التشغيل.</w:t>
      </w:r>
    </w:p>
    <w:p>
      <w:pPr>
        <w:keepLines/>
        <w:numPr>
          <w:ilvl w:val="0"/>
          <w:numId w:val="10"/>
        </w:numPr>
        <w:spacing w:after="160" w:line="280" w:lineRule="auto"/>
        <w:bidi/>
        <w:jc w:val="right"/>
      </w:pPr>
      <w:r>
        <w:rPr>
          <w:rFonts w:ascii="DejaVu Sans" w:hAnsi="DejaVu Sans" w:cs="DejaVu Sans" w:eastAsia="DejaVu Sans"/>
          <w:lang w:val="ar-MA" w:eastAsia="ar-MA" w:bidi="ar-MA"/>
          <w:rtl/>
        </w:rPr>
        <w:t>فجوة في المنتج: رُسمت رحلات المستأجر المعتمدة على الحساب جزئياً لكنها غير مفعلة في سطح التوجيه المراجع.</w:t>
      </w:r>
    </w:p>
    <w:p>
      <w:pPr>
        <w:pStyle w:val="Heading2"/>
        <w:bidi/>
        <w:jc w:val="right"/>
      </w:pPr>
      <w:r>
        <w:rPr>
          <w:rFonts w:ascii="DejaVu Sans" w:hAnsi="DejaVu Sans" w:cs="DejaVu Sans" w:eastAsia="DejaVu Sans"/>
          <w:lang w:val="ar-MA" w:eastAsia="ar-MA" w:bidi="ar-MA"/>
          <w:rtl/>
        </w:rPr>
        <w:t>4.5 التصميم العابر للواجهات</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500"/>
        <w:gridCol w:w="3900"/>
        <w:gridCol w:w="396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المسألة</w:t>
            </w:r>
          </w:p>
        </w:tc>
        <w:tc>
          <w:tcPr>
            <w:tcW w:type="dxa" w:w="39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الحالة الحالية</w:t>
            </w:r>
          </w:p>
        </w:tc>
        <w:tc>
          <w:tcPr>
            <w:tcW w:type="dxa" w:w="39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التوصية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نظام الواجهة</w:t>
            </w:r>
          </w:p>
        </w:tc>
        <w:tc>
          <w:tcPr>
            <w:tcW w:type="dxa" w:w="3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تستخدم الصفحة الرئيسية وحدات CSS/مكونات مخصصة؛ وتستخدم dashboard/admin/carplace Tailwind؛ ولا توجد حزمة واجهة مشتركة.</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انشروا أساسيات ورموزاً وقواعد إتاحة وخطوط أساس انحدار بصري مشتركة من دون فرض نمط متطابق على كل الفئات.</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عملاء API</w:t>
            </w:r>
          </w:p>
        </w:tc>
        <w:tc>
          <w:tcPr>
            <w:tcW w:type="dxa" w:w="3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يتكرر منطق متشابه للوكيل/fetch/الأخطاء عبر التطبيقات.</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ولدوا أو شاركوا عملاء ذوي أنواع من عقد API مرجعي.</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الإصدارات</w:t>
            </w:r>
          </w:p>
        </w:tc>
        <w:tc>
          <w:tcPr>
            <w:tcW w:type="dxa" w:w="3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Next 16 / React 19 في الواجهات؛ وتضم API React 18 وNext كاعتماديات خلفية؛ ويستهدف نطاق lucide النظير React ≤18.</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أزيلوا اعتماديات واجهة الخلفية غير المستخدمة ووحدوا/رقوا الحزم المتوافقة نظيراً.</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الحالة/البيانات</w:t>
            </w:r>
          </w:p>
        </w:tc>
        <w:tc>
          <w:tcPr>
            <w:tcW w:type="dxa" w:w="3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تنسيق يغلب عليه مستوى المكون وأنماط fetch مباشرة.</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وحدوا سلوك الذاكرة المؤقتة والإعادة والإلغاء والتحديث المتفائل وغلاف الخطأ.</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الإتاحة</w:t>
            </w:r>
          </w:p>
        </w:tc>
        <w:tc>
          <w:tcPr>
            <w:tcW w:type="dxa" w:w="3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لدى الصفحة الرئيسية نية صريحة لـaxe/Playwright؛ والأدلة المكافئة أقل ظهوراً في التطبيقات الأخرى.</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اعتمدوا اختبارات قبول مشتركة للوحة المفاتيح والتركيز وتسميات النماذج والتباين وRTL عبر كل السطوح.</w:t>
            </w:r>
          </w:p>
        </w:tc>
      </w:tr>
    </w:tbl>
    <w:p>
      <w:pPr>
        <w:spacing w:after="20"/>
        <w:bidi/>
        <w:jc w:val="right"/>
      </w:pPr>
    </w:p>
    <w:p>
      <w:pPr>
        <w:pStyle w:val="Heading1"/>
        <w:bidi/>
        <w:jc w:val="right"/>
      </w:pPr>
      <w:r>
        <w:rPr>
          <w:rFonts w:ascii="DejaVu Sans" w:hAnsi="DejaVu Sans" w:cs="DejaVu Sans" w:eastAsia="DejaVu Sans"/>
          <w:lang w:val="ar-MA" w:eastAsia="ar-MA" w:bidi="ar-MA"/>
          <w:rtl/>
        </w:rPr>
        <w:t>5. تصميم API والخدمات</w:t>
      </w:r>
    </w:p>
    <w:p>
      <w:pPr>
        <w:keepLines/>
        <w:spacing w:before="120" w:after="40"/>
        <w:jc w:val="center"/>
        <w:bidi/>
      </w:pPr>
      <w:r>
        <w:rPr>
          <w:lang w:val="en-US" w:eastAsia="en-US" w:bidi="en-US"/>
        </w:rPr>
        <w:drawing>
          <wp:inline xmlns:a="http://schemas.openxmlformats.org/drawingml/2006/main" xmlns:pic="http://schemas.openxmlformats.org/drawingml/2006/picture">
            <wp:extent cx="5760720" cy="3136392"/>
            <wp:docPr id="2" name="Picture 2" descr="الشكل 2. مسار API نموذجي من دخول الطلب عبر الضوابط المشتركة والتحقق ومنطق المجال وصولاً إلى التخزين الدائم." title="Api Request Path"/>
            <wp:cNvGraphicFramePr>
              <a:graphicFrameLocks noChangeAspect="1"/>
            </wp:cNvGraphicFramePr>
            <a:graphic>
              <a:graphicData uri="http://schemas.openxmlformats.org/drawingml/2006/picture">
                <pic:pic>
                  <pic:nvPicPr>
                    <pic:cNvPr id="0" name="api_request_path.png"/>
                    <pic:cNvPicPr/>
                  </pic:nvPicPr>
                  <pic:blipFill>
                    <a:blip r:embed="rId12"/>
                    <a:stretch>
                      <a:fillRect/>
                    </a:stretch>
                  </pic:blipFill>
                  <pic:spPr>
                    <a:xfrm>
                      <a:off x="0" y="0"/>
                      <a:ext cx="5760720" cy="3136392"/>
                    </a:xfrm>
                    <a:prstGeom prst="rect"/>
                  </pic:spPr>
                </pic:pic>
              </a:graphicData>
            </a:graphic>
          </wp:inline>
        </w:drawing>
      </w:r>
    </w:p>
    <w:p>
      <w:pPr>
        <w:pStyle w:val="Caption"/>
        <w:keepNext w:val="0"/>
        <w:bidi/>
        <w:jc w:val="right"/>
      </w:pPr>
      <w:r>
        <w:rPr>
          <w:rFonts w:ascii="DejaVu Sans" w:hAnsi="DejaVu Sans" w:cs="DejaVu Sans" w:eastAsia="DejaVu Sans"/>
          <w:lang w:val="ar-MA" w:eastAsia="ar-MA" w:bidi="ar-MA"/>
          <w:rtl/>
        </w:rPr>
        <w:t>الشكل 2. مسار API نموذجي من دخول الطلب عبر الضوابط المشتركة والتحقق ومنطق المجال وصولاً إلى التخزين الدائم.</w:t>
      </w:r>
    </w:p>
    <w:p>
      <w:pPr>
        <w:keepLines w:val="0"/>
        <w:bidi/>
        <w:jc w:val="right"/>
      </w:pPr>
      <w:r>
        <w:rPr>
          <w:rFonts w:ascii="DejaVu Sans" w:hAnsi="DejaVu Sans" w:cs="DejaVu Sans" w:eastAsia="DejaVu Sans"/>
          <w:b w:val="0"/>
          <w:i w:val="0"/>
          <w:lang w:val="ar-MA" w:eastAsia="ar-MA" w:bidi="ar-MA"/>
          <w:rtl/>
        </w:rPr>
        <w:t>API هي بنية أحادية معيارية بـ TypeScript وExpress. وتتبع معظم مجلدات المجال نمط مسار ← مخطط ← خدمة ← مستودع ← مقدم. وهذا فصل سليم لمرحلة الشركة والمنتج الحالية: فهو يركز المعاملات ويمنح الفرق حدوداً واضحة.</w:t>
      </w:r>
    </w:p>
    <w:p>
      <w:pPr>
        <w:pStyle w:val="Heading2"/>
        <w:bidi/>
        <w:jc w:val="right"/>
      </w:pPr>
      <w:r>
        <w:rPr>
          <w:rFonts w:ascii="DejaVu Sans" w:hAnsi="DejaVu Sans" w:cs="DejaVu Sans" w:eastAsia="DejaVu Sans"/>
          <w:lang w:val="ar-MA" w:eastAsia="ar-MA" w:bidi="ar-MA"/>
          <w:rtl/>
        </w:rPr>
        <w:t>تهيئة التطبيق</w:t>
      </w:r>
    </w:p>
    <w:p>
      <w:pPr>
        <w:keepLines/>
        <w:numPr>
          <w:ilvl w:val="0"/>
          <w:numId w:val="10"/>
        </w:numPr>
        <w:spacing w:after="160" w:line="280" w:lineRule="auto"/>
        <w:bidi/>
        <w:jc w:val="right"/>
      </w:pPr>
      <w:r>
        <w:rPr>
          <w:rFonts w:ascii="DejaVu Sans" w:hAnsi="DejaVu Sans" w:cs="DejaVu Sans" w:eastAsia="DejaVu Sans"/>
          <w:lang w:val="ar-MA" w:eastAsia="ar-MA" w:bidi="ar-MA"/>
          <w:rtl/>
        </w:rPr>
        <w:t>ينظف بيانات إعادة التوجيه الوصفية، ويرفق معرفاً للطلب، ويرفض ترويسة x-middleware-subrequest، ويطبق فحوص أصل CORS وcookie-CSRF، ثم يثبت الأمن والتحليل والمسارات والأخطاء المركزية.</w:t>
      </w:r>
    </w:p>
    <w:p>
      <w:pPr>
        <w:keepLines/>
        <w:numPr>
          <w:ilvl w:val="0"/>
          <w:numId w:val="10"/>
        </w:numPr>
        <w:spacing w:after="160" w:line="280" w:lineRule="auto"/>
        <w:bidi/>
        <w:jc w:val="right"/>
      </w:pPr>
      <w:r>
        <w:rPr>
          <w:rFonts w:ascii="DejaVu Sans" w:hAnsi="DejaVu Sans" w:cs="DejaVu Sans" w:eastAsia="DejaVu Sans"/>
          <w:lang w:val="ar-MA" w:eastAsia="ar-MA" w:bidi="ar-MA"/>
          <w:rtl/>
        </w:rPr>
        <w:t>يثبت معالجة الجسم الخام لخطافات الويب قبل تحليل JSON العام حتى يمكن التحقق من توقيعات المزودين مقابل البايتات الأصلية.</w:t>
      </w:r>
    </w:p>
    <w:p>
      <w:pPr>
        <w:keepLines/>
        <w:numPr>
          <w:ilvl w:val="0"/>
          <w:numId w:val="10"/>
        </w:numPr>
        <w:spacing w:after="160" w:line="280" w:lineRule="auto"/>
        <w:bidi/>
        <w:jc w:val="right"/>
      </w:pPr>
      <w:r>
        <w:rPr>
          <w:rFonts w:ascii="DejaVu Sans" w:hAnsi="DejaVu Sans" w:cs="DejaVu Sans" w:eastAsia="DejaVu Sans"/>
          <w:lang w:val="ar-MA" w:eastAsia="ar-MA" w:bidi="ar-MA"/>
          <w:rtl/>
        </w:rPr>
        <w:t>يحمي مسارات التخزين الخاص ولا يكشف إلا مسارات التخزين العامة المحددة صراحة.</w:t>
      </w:r>
    </w:p>
    <w:p>
      <w:pPr>
        <w:keepLines/>
        <w:numPr>
          <w:ilvl w:val="0"/>
          <w:numId w:val="10"/>
        </w:numPr>
        <w:spacing w:after="160" w:line="280" w:lineRule="auto"/>
        <w:bidi/>
        <w:jc w:val="right"/>
      </w:pPr>
      <w:r>
        <w:rPr>
          <w:rFonts w:ascii="DejaVu Sans" w:hAnsi="DejaVu Sans" w:cs="DejaVu Sans" w:eastAsia="DejaVu Sans"/>
          <w:lang w:val="ar-MA" w:eastAsia="ar-MA" w:bidi="ar-MA"/>
          <w:rtl/>
        </w:rPr>
        <w:t>يقدم Swagger خارج الإنتاج فقط ما لم يُفعّل صراحة.</w:t>
      </w:r>
    </w:p>
    <w:p>
      <w:pPr>
        <w:keepLines/>
        <w:numPr>
          <w:ilvl w:val="0"/>
          <w:numId w:val="10"/>
        </w:numPr>
        <w:spacing w:after="160" w:line="280" w:lineRule="auto"/>
        <w:bidi/>
        <w:jc w:val="right"/>
      </w:pPr>
      <w:r>
        <w:rPr>
          <w:rFonts w:ascii="DejaVu Sans" w:hAnsi="DejaVu Sans" w:cs="DejaVu Sans" w:eastAsia="DejaVu Sans"/>
          <w:lang w:val="ar-MA" w:eastAsia="ar-MA" w:bidi="ar-MA"/>
          <w:rtl/>
        </w:rPr>
        <w:t>يهيئ Socket.IO واشتراك Redis في الإشعارات ومهام node-cron داخل عملية API.</w:t>
      </w:r>
    </w:p>
    <w:p>
      <w:pPr>
        <w:pStyle w:val="Heading2"/>
        <w:bidi/>
        <w:jc w:val="right"/>
      </w:pPr>
      <w:r>
        <w:rPr>
          <w:rFonts w:ascii="DejaVu Sans" w:hAnsi="DejaVu Sans" w:cs="DejaVu Sans" w:eastAsia="DejaVu Sans"/>
          <w:lang w:val="ar-MA" w:eastAsia="ar-MA" w:bidi="ar-MA"/>
          <w:rtl/>
        </w:rPr>
        <w:t>جرد وحدات المجال</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2200"/>
        <w:gridCol w:w="900"/>
        <w:gridCol w:w="6260"/>
      </w:tblGrid>
      <w:tr>
        <w:trPr>
          <w:tblHeader w:val="true"/>
          <w:cantSplit/>
        </w:trPr>
        <w:tc>
          <w:tcPr>
            <w:tcW w:type="dxa" w:w="22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عائلة المجال</w:t>
            </w:r>
          </w:p>
        </w:tc>
        <w:tc>
          <w:tcPr>
            <w:tcW w:type="dxa" w:w="9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المعالجات</w:t>
            </w:r>
          </w:p>
        </w:tc>
        <w:tc>
          <w:tcPr>
            <w:tcW w:type="dxa" w:w="62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النطاق التمثيلي</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الإدارة</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‎70‎</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الشركات والتسعير والفوترة والإداريون والتدقيق وإعداد القائمة/الموقع</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المركبات</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‎20‎</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CRUD للأسطول والحالة والوسائط وعلاقات الصيانة/التقويم</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الحجوزات</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‎18‎</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دورة الحياة والعقود والمستندات والانتقالات التشغيلية</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‎Carplace‎</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‎17‎</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البحث العام وعرض السعر والتوافر وحجز الضيف والقمع</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الاشتراكات</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‎17‎</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الخطط والدفع وحالة الوصول وأتمتة دورة الحياة</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الموقع</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‎14‎</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محتوى وإعداد العام/الموقع</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الإشعارات</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‎12‎</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المستلمون والتفضيلات وحالة داخل التطبيق وإنشاء الأحداث</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العملاء</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‎10‎</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سجلات العملاء وتاريخهم ضمن نطاق المستأجر</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المصادقة</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‎19‎</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الإدارة والموظف والشركة والمستأجر والموحد والحساب</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المدفوعات + خطافات الويب</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‎10‎</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الدفع والتحصيل/الاسترداد/الحالة واستدعاءات المزود الموقعة</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مجالات أخرى</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‎68‎</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التحليلات والفوترة والشكاوى والعروض والمراجعات والبحث والفريق والرخص والشركات</w:t>
            </w:r>
          </w:p>
        </w:tc>
      </w:tr>
      <w:tr>
        <w:trPr>
          <w:cantSplit/>
        </w:trPr>
        <w:tc>
          <w:tcPr>
            <w:tcW w:type="dxa" w:w="22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الإجمالي</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‎268‎</w:t>
            </w:r>
          </w:p>
        </w:tc>
        <w:tc>
          <w:tcPr>
            <w:tcW w:type="dxa" w:w="6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تسجيلات طرق وقت التشغيل المحسوبة في المصدر</w:t>
            </w:r>
          </w:p>
        </w:tc>
      </w:tr>
    </w:tbl>
    <w:p>
      <w:pPr>
        <w:spacing w:after="20"/>
        <w:bidi/>
        <w:jc w:val="right"/>
      </w:pPr>
    </w:p>
    <w:p>
      <w:pPr>
        <w:pStyle w:val="Heading2"/>
        <w:bidi/>
        <w:jc w:val="right"/>
      </w:pPr>
      <w:r>
        <w:rPr>
          <w:rFonts w:ascii="DejaVu Sans" w:hAnsi="DejaVu Sans" w:cs="DejaVu Sans" w:eastAsia="DejaVu Sans"/>
          <w:lang w:val="ar-MA" w:eastAsia="ar-MA" w:bidi="ar-MA"/>
          <w:rtl/>
        </w:rPr>
        <w:t>عقود API والأخطاء</w:t>
      </w:r>
    </w:p>
    <w:p>
      <w:pPr>
        <w:keepLines w:val="0"/>
        <w:bidi/>
        <w:jc w:val="right"/>
      </w:pPr>
      <w:r>
        <w:rPr>
          <w:rFonts w:ascii="DejaVu Sans" w:hAnsi="DejaVu Sans" w:cs="DejaVu Sans" w:eastAsia="DejaVu Sans"/>
          <w:b w:val="0"/>
          <w:i w:val="0"/>
          <w:lang w:val="ar-MA" w:eastAsia="ar-MA" w:bidi="ar-MA"/>
          <w:rtl/>
        </w:rPr>
        <w:t>تتحقق مخططات Zod من أجسام طلبات ومعلمات استعلام كثيرة. وتعيد طبقة أخطاء مركزية استجابات فشل متسقة وتنقل معرفات الطلب. ويوثق تعريف OpenAPI اليدوي 158 عملية مقابل 268 معالجاً وقت التشغيل، أي تغطية تقارب 59%، لذلك ينبغي اعتباره مرجعاً جزئياً لا العقد الكامل المرجعي.</w:t>
      </w:r>
    </w:p>
    <w:p>
      <w:pPr>
        <w:keepLines/>
        <w:spacing w:before="100" w:after="200"/>
        <w:ind w:left="173" w:right="115"/>
        <w:shd w:fill="E8EEF5"/>
        <w:pBdr>
          <w:left w:val="single" w:sz="20" w:space="8" w:color="2E74B5"/>
        </w:pBdr>
        <w:bidi/>
        <w:jc w:val="right"/>
      </w:pPr>
      <w:r>
        <w:rPr>
          <w:rFonts w:ascii="DejaVu Sans" w:hAnsi="DejaVu Sans" w:cs="DejaVu Sans" w:eastAsia="DejaVu Sans"/>
          <w:b/>
          <w:color w:val="2E74B5"/>
          <w:lang w:val="ar-MA" w:eastAsia="ar-MA" w:bidi="ar-MA"/>
          <w:rtl/>
        </w:rPr>
        <w:t xml:space="preserve">استراتيجية العقد الموصى بها  </w:t>
      </w:r>
      <w:r>
        <w:rPr>
          <w:rFonts w:ascii="DejaVu Sans" w:hAnsi="DejaVu Sans" w:cs="DejaVu Sans" w:eastAsia="DejaVu Sans"/>
          <w:color w:val="101828"/>
          <w:lang w:val="ar-MA" w:eastAsia="ar-MA" w:bidi="ar-MA"/>
          <w:rtl/>
        </w:rPr>
        <w:t>ولّدوا OpenAPI من مخططات المسارات أو افرضوا سجل ربط بين المسار والعقد في CI. واستخدموا العقد المولد لعملاء الواجهة ذوي الأنواع وللتوثيق الموجه للمزودين، واجعلوا CI يفشل عندما يفتقر مسار عام إلى تعريف عملية.</w:t>
      </w:r>
    </w:p>
    <w:p>
      <w:pPr>
        <w:pStyle w:val="Heading2"/>
        <w:bidi/>
        <w:jc w:val="right"/>
      </w:pPr>
      <w:r>
        <w:rPr>
          <w:rFonts w:ascii="DejaVu Sans" w:hAnsi="DejaVu Sans" w:cs="DejaVu Sans" w:eastAsia="DejaVu Sans"/>
          <w:lang w:val="ar-MA" w:eastAsia="ar-MA" w:bidi="ar-MA"/>
          <w:rtl/>
        </w:rPr>
        <w:t>الدين التقني داخل البنية الأحادية المعيارية</w:t>
      </w:r>
    </w:p>
    <w:p>
      <w:pPr>
        <w:keepLines/>
        <w:numPr>
          <w:ilvl w:val="0"/>
          <w:numId w:val="10"/>
        </w:numPr>
        <w:spacing w:after="160" w:line="280" w:lineRule="auto"/>
        <w:bidi/>
        <w:jc w:val="right"/>
      </w:pPr>
      <w:r>
        <w:rPr>
          <w:rFonts w:ascii="DejaVu Sans" w:hAnsi="DejaVu Sans" w:cs="DejaVu Sans" w:eastAsia="DejaVu Sans"/>
          <w:lang w:val="ar-MA" w:eastAsia="ar-MA" w:bidi="ar-MA"/>
          <w:rtl/>
        </w:rPr>
        <w:t>تتعايش كيانات فوترة قديمة وأحدث، مما يزيد تعقيد المطابقة والترحيل.</w:t>
      </w:r>
    </w:p>
    <w:p>
      <w:pPr>
        <w:keepLines/>
        <w:numPr>
          <w:ilvl w:val="0"/>
          <w:numId w:val="10"/>
        </w:numPr>
        <w:spacing w:after="160" w:line="280" w:lineRule="auto"/>
        <w:bidi/>
        <w:jc w:val="right"/>
      </w:pPr>
      <w:r>
        <w:rPr>
          <w:rFonts w:ascii="DejaVu Sans" w:hAnsi="DejaVu Sans" w:cs="DejaVu Sans" w:eastAsia="DejaVu Sans"/>
          <w:lang w:val="ar-MA" w:eastAsia="ar-MA" w:bidi="ar-MA"/>
          <w:rtl/>
        </w:rPr>
        <w:t>يتعايش نموذج Notification القديم مع نماذج الإشعار المعتمدة على الحدث/صندوق الصادر.</w:t>
      </w:r>
    </w:p>
    <w:p>
      <w:pPr>
        <w:keepLines/>
        <w:numPr>
          <w:ilvl w:val="0"/>
          <w:numId w:val="10"/>
        </w:numPr>
        <w:spacing w:after="160" w:line="280" w:lineRule="auto"/>
        <w:bidi/>
        <w:jc w:val="right"/>
      </w:pPr>
      <w:r>
        <w:rPr>
          <w:rFonts w:ascii="DejaVu Sans" w:hAnsi="DejaVu Sans" w:cs="DejaVu Sans" w:eastAsia="DejaVu Sans"/>
          <w:lang w:val="ar-MA" w:eastAsia="ar-MA" w:bidi="ar-MA"/>
          <w:rtl/>
        </w:rPr>
        <w:t>تبدو عدة اعتماديات مكررة أو غير مستخدمة عبر الواجهات وAPI، مما يزيد مساحة التدقيق والترقية.</w:t>
      </w:r>
    </w:p>
    <w:p>
      <w:pPr>
        <w:keepLines/>
        <w:numPr>
          <w:ilvl w:val="0"/>
          <w:numId w:val="10"/>
        </w:numPr>
        <w:spacing w:after="160" w:line="280" w:lineRule="auto"/>
        <w:bidi/>
        <w:jc w:val="right"/>
      </w:pPr>
      <w:r>
        <w:rPr>
          <w:rFonts w:ascii="DejaVu Sans" w:hAnsi="DejaVu Sans" w:cs="DejaVu Sans" w:eastAsia="DejaVu Sans"/>
          <w:lang w:val="ar-MA" w:eastAsia="ar-MA" w:bidi="ar-MA"/>
          <w:rtl/>
        </w:rPr>
        <w:t>لا تملك بعض التغييرات الحساسة أمنياً تغطية تدقيق كاملة بعد، وفق ملاحظات التحصين الداخلية وفحص المسارات.</w:t>
      </w:r>
    </w:p>
    <w:p>
      <w:pPr>
        <w:keepLines/>
        <w:numPr>
          <w:ilvl w:val="0"/>
          <w:numId w:val="10"/>
        </w:numPr>
        <w:spacing w:after="160" w:line="280" w:lineRule="auto"/>
        <w:bidi/>
        <w:jc w:val="right"/>
      </w:pPr>
      <w:r>
        <w:rPr>
          <w:rFonts w:ascii="DejaVu Sans" w:hAnsi="DejaVu Sans" w:cs="DejaVu Sans" w:eastAsia="DejaVu Sans"/>
          <w:lang w:val="ar-MA" w:eastAsia="ar-MA" w:bidi="ar-MA"/>
          <w:rtl/>
        </w:rPr>
        <w:t>فحص الصحة يثبت الحياة فقط؛ ولا يشهد بجاهزية قاعدة البيانات أو Redis أو تخزين الملفات أو الترحيل أو المزودين.</w:t>
      </w:r>
    </w:p>
    <w:p>
      <w:pPr>
        <w:pStyle w:val="Heading1"/>
        <w:bidi/>
        <w:jc w:val="right"/>
      </w:pPr>
      <w:r>
        <w:rPr>
          <w:rFonts w:ascii="DejaVu Sans" w:hAnsi="DejaVu Sans" w:cs="DejaVu Sans" w:eastAsia="DejaVu Sans"/>
          <w:lang w:val="ar-MA" w:eastAsia="ar-MA" w:bidi="ar-MA"/>
          <w:rtl/>
        </w:rPr>
        <w:t>6. بنية البيانات</w:t>
      </w:r>
    </w:p>
    <w:p>
      <w:pPr>
        <w:keepLines/>
        <w:spacing w:before="120" w:after="40"/>
        <w:jc w:val="center"/>
        <w:bidi/>
      </w:pPr>
      <w:r>
        <w:rPr>
          <w:lang w:val="en-US" w:eastAsia="en-US" w:bidi="en-US"/>
        </w:rPr>
        <w:drawing>
          <wp:inline xmlns:a="http://schemas.openxmlformats.org/drawingml/2006/main" xmlns:pic="http://schemas.openxmlformats.org/drawingml/2006/picture">
            <wp:extent cx="5760720" cy="3584448"/>
            <wp:docPr id="3" name="Picture 3" descr="الشكل 3. نموذج علائقي أساسي مبسط. تمثل Company جذر المستأجر المهيمن، وتربط Reservation الأدلة التجارية والتشغيلية." title="Core Data Model"/>
            <wp:cNvGraphicFramePr>
              <a:graphicFrameLocks noChangeAspect="1"/>
            </wp:cNvGraphicFramePr>
            <a:graphic>
              <a:graphicData uri="http://schemas.openxmlformats.org/drawingml/2006/picture">
                <pic:pic>
                  <pic:nvPicPr>
                    <pic:cNvPr id="0" name="core_data_model.png"/>
                    <pic:cNvPicPr/>
                  </pic:nvPicPr>
                  <pic:blipFill>
                    <a:blip r:embed="rId13"/>
                    <a:stretch>
                      <a:fillRect/>
                    </a:stretch>
                  </pic:blipFill>
                  <pic:spPr>
                    <a:xfrm>
                      <a:off x="0" y="0"/>
                      <a:ext cx="5760720" cy="3584448"/>
                    </a:xfrm>
                    <a:prstGeom prst="rect"/>
                  </pic:spPr>
                </pic:pic>
              </a:graphicData>
            </a:graphic>
          </wp:inline>
        </w:drawing>
      </w:r>
    </w:p>
    <w:p>
      <w:pPr>
        <w:pStyle w:val="Caption"/>
        <w:keepNext w:val="0"/>
        <w:bidi/>
        <w:jc w:val="right"/>
      </w:pPr>
      <w:r>
        <w:rPr>
          <w:rFonts w:ascii="DejaVu Sans" w:hAnsi="DejaVu Sans" w:cs="DejaVu Sans" w:eastAsia="DejaVu Sans"/>
          <w:lang w:val="ar-MA" w:eastAsia="ar-MA" w:bidi="ar-MA"/>
          <w:rtl/>
        </w:rPr>
        <w:t>الشكل 3. نموذج علائقي أساسي مبسط. تمثل Company جذر المستأجر المهيمن، وتربط Reservation الأدلة التجارية والتشغيلية.</w:t>
      </w:r>
    </w:p>
    <w:p>
      <w:pPr>
        <w:pStyle w:val="Heading2"/>
        <w:bidi/>
        <w:jc w:val="right"/>
      </w:pPr>
      <w:r>
        <w:rPr>
          <w:rFonts w:ascii="DejaVu Sans" w:hAnsi="DejaVu Sans" w:cs="DejaVu Sans" w:eastAsia="DejaVu Sans"/>
          <w:lang w:val="ar-MA" w:eastAsia="ar-MA" w:bidi="ar-MA"/>
          <w:rtl/>
        </w:rPr>
        <w:t>منصة البيانات</w:t>
      </w:r>
    </w:p>
    <w:p>
      <w:pPr>
        <w:keepLines w:val="0"/>
        <w:bidi/>
        <w:jc w:val="right"/>
      </w:pPr>
      <w:r>
        <w:rPr>
          <w:rFonts w:ascii="DejaVu Sans" w:hAnsi="DejaVu Sans" w:cs="DejaVu Sans" w:eastAsia="DejaVu Sans"/>
          <w:b w:val="0"/>
          <w:i w:val="0"/>
          <w:lang w:val="ar-MA" w:eastAsia="ar-MA" w:bidi="ar-MA"/>
          <w:rtl/>
        </w:rPr>
        <w:t>PostgreSQL هو نظام السجل، ويُوصل إليه عبر Prisma 5.13. يحدد المخطط المؤلف من 2,143 سطراً 67 نموذجاً و60 تعداداً، وتدعمه 49 مجلداً للترحيل بإجمالي يقارب 3,393 سطر SQL. وهذا مخطط تشغيلي عميق بحالات دورة حياة صريحة وسجلات تاريخية وفهارس للمستأجرين.</w:t>
      </w:r>
    </w:p>
    <w:p>
      <w:pPr>
        <w:pStyle w:val="Heading2"/>
        <w:bidi/>
        <w:jc w:val="right"/>
      </w:pPr>
      <w:r>
        <w:rPr>
          <w:rFonts w:ascii="DejaVu Sans" w:hAnsi="DejaVu Sans" w:cs="DejaVu Sans" w:eastAsia="DejaVu Sans"/>
          <w:lang w:val="ar-MA" w:eastAsia="ar-MA" w:bidi="ar-MA"/>
          <w:rtl/>
        </w:rPr>
        <w:t>نموذج عزل المستأجرين</w:t>
      </w:r>
    </w:p>
    <w:p>
      <w:pPr>
        <w:keepLines w:val="0"/>
        <w:bidi/>
        <w:jc w:val="right"/>
      </w:pPr>
      <w:r>
        <w:rPr>
          <w:rFonts w:ascii="DejaVu Sans" w:hAnsi="DejaVu Sans" w:cs="DejaVu Sans" w:eastAsia="DejaVu Sans"/>
          <w:b w:val="0"/>
          <w:i w:val="0"/>
          <w:lang w:val="ar-MA" w:eastAsia="ar-MA" w:bidi="ar-MA"/>
          <w:rtl/>
        </w:rPr>
        <w:t>Company هي جذر المستأجر الرئيسي. تستقبل المستودعات المدركة للمستأجر companyId أو تشتقه، وتربط برمجيات الشركة/الموظف الوسيطة فاعلاً مصادقاً بشركة نشطة. وتحمل معظم سجلات الأعمال، ومنها المركبات والعملاء والحجوزات والعروض والشكاوى وسجلات الفوترة والتفضيلات والإعدادات، نطاق الشركة أو تصل إليه عبر علاقات لازمة. وهذا عزل منطقي تفرضه طبقة التطبيق، لا قاعدة بيانات مستقلة لكل مستأجر.</w:t>
      </w:r>
    </w:p>
    <w:p>
      <w:pPr>
        <w:keepLines/>
        <w:numPr>
          <w:ilvl w:val="0"/>
          <w:numId w:val="10"/>
        </w:numPr>
        <w:spacing w:after="160" w:line="280" w:lineRule="auto"/>
        <w:bidi/>
        <w:jc w:val="right"/>
      </w:pPr>
      <w:r>
        <w:rPr>
          <w:rFonts w:ascii="DejaVu Sans" w:hAnsi="DejaVu Sans" w:cs="DejaVu Sans" w:eastAsia="DejaVu Sans"/>
          <w:lang w:val="ar-MA" w:eastAsia="ar-MA" w:bidi="ar-MA"/>
          <w:rtl/>
        </w:rPr>
        <w:t>ميزة: يتيح مخطط واحد معاملات عابرة للمجالات وإدارة على مستوى المنصة.</w:t>
      </w:r>
    </w:p>
    <w:p>
      <w:pPr>
        <w:keepLines/>
        <w:numPr>
          <w:ilvl w:val="0"/>
          <w:numId w:val="10"/>
        </w:numPr>
        <w:spacing w:after="160" w:line="280" w:lineRule="auto"/>
        <w:bidi/>
        <w:jc w:val="right"/>
      </w:pPr>
      <w:r>
        <w:rPr>
          <w:rFonts w:ascii="DejaVu Sans" w:hAnsi="DejaVu Sans" w:cs="DejaVu Sans" w:eastAsia="DejaVu Sans"/>
          <w:lang w:val="ar-MA" w:eastAsia="ar-MA" w:bidi="ar-MA"/>
          <w:rtl/>
        </w:rPr>
        <w:t>خطر: يعتمد عزل المستأجرين على احتفاظ كل مسار استعلام بشروط الشركة؛ ولم تُثبت حماية على مستوى صفوف قاعدة البيانات.</w:t>
      </w:r>
    </w:p>
    <w:p>
      <w:pPr>
        <w:keepLines/>
        <w:numPr>
          <w:ilvl w:val="0"/>
          <w:numId w:val="10"/>
        </w:numPr>
        <w:spacing w:after="160" w:line="280" w:lineRule="auto"/>
        <w:bidi/>
        <w:jc w:val="right"/>
      </w:pPr>
      <w:r>
        <w:rPr>
          <w:rFonts w:ascii="DejaVu Sans" w:hAnsi="DejaVu Sans" w:cs="DejaVu Sans" w:eastAsia="DejaVu Sans"/>
          <w:lang w:val="ar-MA" w:eastAsia="ar-MA" w:bidi="ar-MA"/>
          <w:rtl/>
        </w:rPr>
        <w:t>الأثر الرقابي: اختبارات عقود تعدد المستأجرين على مستوى المستودع ومراجعة الاستعلامات أساسية، ولا سيما لمسارات الإدارة والبحث والتقارير والتصدير والعامة الجديدة.</w:t>
      </w:r>
    </w:p>
    <w:p>
      <w:pPr>
        <w:pStyle w:val="Heading2"/>
        <w:bidi/>
        <w:jc w:val="right"/>
      </w:pPr>
      <w:r>
        <w:rPr>
          <w:rFonts w:ascii="DejaVu Sans" w:hAnsi="DejaVu Sans" w:cs="DejaVu Sans" w:eastAsia="DejaVu Sans"/>
          <w:lang w:val="ar-MA" w:eastAsia="ar-MA" w:bidi="ar-MA"/>
          <w:rtl/>
        </w:rPr>
        <w:t>علاقات المجال الأساسية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600"/>
        <w:gridCol w:w="4050"/>
        <w:gridCol w:w="3710"/>
      </w:tblGrid>
      <w:tr>
        <w:trPr>
          <w:tblHeader w:val="true"/>
          <w:cantSplit/>
        </w:trPr>
        <w:tc>
          <w:tcPr>
            <w:tcW w:type="dxa" w:w="16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المجموع</w:t>
            </w:r>
          </w:p>
        </w:tc>
        <w:tc>
          <w:tcPr>
            <w:tcW w:type="dxa" w:w="40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العلاقات الرئيسية</w:t>
            </w:r>
          </w:p>
        </w:tc>
        <w:tc>
          <w:tcPr>
            <w:tcW w:type="dxa" w:w="371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دلالة التصميم</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الشركة</w:t>
            </w:r>
          </w:p>
        </w:tc>
        <w:tc>
          <w:tcPr>
            <w:tcW w:type="dxa" w:w="40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الموظفون والمركبات والعملاء والحجوزات والعروض والاشتراك والفوترة والإعدادات والإشعارات والشكاوى</w:t>
            </w:r>
          </w:p>
        </w:tc>
        <w:tc>
          <w:tcPr>
            <w:tcW w:type="dxa" w:w="37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حد ملكية المستأجر وإعداده.</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المركبة</w:t>
            </w:r>
          </w:p>
        </w:tc>
        <w:tc>
          <w:tcPr>
            <w:tcW w:type="dxa" w:w="40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الحجوزات وسجلات الصيانة وكتل التقويم وإعداد/قواعد/تاريخ التسعير</w:t>
            </w:r>
          </w:p>
        </w:tc>
        <w:tc>
          <w:tcPr>
            <w:tcW w:type="dxa" w:w="37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يربط المخزون والتوافر والتسعير وتكلفة التشغيل.</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العميل</w:t>
            </w:r>
          </w:p>
        </w:tc>
        <w:tc>
          <w:tcPr>
            <w:tcW w:type="dxa" w:w="40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الحجوزات والشكاوى؛ معرف مستأجر اختياري</w:t>
            </w:r>
          </w:p>
        </w:tc>
        <w:tc>
          <w:tcPr>
            <w:tcW w:type="dxa" w:w="37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هوية CRM للمستأجر. تفتقر قيمة renterId الاختيارية إلى علاقة Prisma صريحة.</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الحجز</w:t>
            </w:r>
          </w:p>
        </w:tc>
        <w:tc>
          <w:tcPr>
            <w:tcW w:type="dxa" w:w="40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الشركة والمركبة والعميل والمستأجر/العرض الاختياريان والمدفوعات والتأمين والسائقون والأضرار والصور والمراجعة والوصول العام</w:t>
            </w:r>
          </w:p>
        </w:tc>
        <w:tc>
          <w:tcPr>
            <w:tcW w:type="dxa" w:w="37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السجل المعاملاتي والإثباتي المركزي.</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الاشتراك</w:t>
            </w:r>
          </w:p>
        </w:tc>
        <w:tc>
          <w:tcPr>
            <w:tcW w:type="dxa" w:w="40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الخطة والأحداث والفواتير وحساب الفوترة/نية الدفع/المحاولة/الاسترداد/الضريبة/الائتمان</w:t>
            </w:r>
          </w:p>
        </w:tc>
        <w:tc>
          <w:tcPr>
            <w:tcW w:type="dxa" w:w="37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تحقيق الدخل من SaaS وحالة الوصول إلى الخصائص.</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‎NotificationEvent‎</w:t>
            </w:r>
          </w:p>
        </w:tc>
        <w:tc>
          <w:tcPr>
            <w:tcW w:type="dxa" w:w="40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المستلمون والتسليمات وصندوق الصادر والقوالب/التفضيلات</w:t>
            </w:r>
          </w:p>
        </w:tc>
        <w:tc>
          <w:tcPr>
            <w:tcW w:type="dxa" w:w="37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نية دائمة ومسك سجلات التسليم؛ العامل غير مكتمل.</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‎AdminUser‎</w:t>
            </w:r>
          </w:p>
        </w:tc>
        <w:tc>
          <w:tcPr>
            <w:tcW w:type="dxa" w:w="40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الأذونات ورموز الاسترداد وسجلات التدقيق</w:t>
            </w:r>
          </w:p>
        </w:tc>
        <w:tc>
          <w:tcPr>
            <w:tcW w:type="dxa" w:w="37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هوية تحكم عالمية للمنصة منفصلة عن موظفي المستأجرين.</w:t>
            </w:r>
          </w:p>
        </w:tc>
      </w:tr>
    </w:tbl>
    <w:p>
      <w:pPr>
        <w:spacing w:after="20"/>
        <w:bidi/>
        <w:jc w:val="right"/>
      </w:pPr>
    </w:p>
    <w:p>
      <w:pPr>
        <w:pStyle w:val="Heading2"/>
        <w:bidi/>
        <w:jc w:val="right"/>
      </w:pPr>
      <w:r>
        <w:rPr>
          <w:rFonts w:ascii="DejaVu Sans" w:hAnsi="DejaVu Sans" w:cs="DejaVu Sans" w:eastAsia="DejaVu Sans"/>
          <w:lang w:val="ar-MA" w:eastAsia="ar-MA" w:bidi="ar-MA"/>
          <w:rtl/>
        </w:rPr>
        <w:t>مخاوف اتساق البيانات</w:t>
      </w:r>
    </w:p>
    <w:p>
      <w:pPr>
        <w:keepLines/>
        <w:numPr>
          <w:ilvl w:val="0"/>
          <w:numId w:val="10"/>
        </w:numPr>
        <w:spacing w:after="160" w:line="280" w:lineRule="auto"/>
        <w:bidi/>
        <w:jc w:val="right"/>
      </w:pPr>
      <w:r>
        <w:rPr>
          <w:rFonts w:ascii="DejaVu Sans" w:hAnsi="DejaVu Sans" w:cs="DejaVu Sans" w:eastAsia="DejaVu Sans"/>
          <w:lang w:val="ar-MA" w:eastAsia="ar-MA" w:bidi="ar-MA"/>
          <w:rtl/>
        </w:rPr>
        <w:t>يحتوي مجال الفوترة على سجلات SubscriptionInvoice / PaymentAttempt قديمة وعائلة BillingInvoice / BillingPaymentIntent أحدث؛ ويجب أن تكون قواعد الترحيل ومصدر الحقيقة صريحة.</w:t>
      </w:r>
    </w:p>
    <w:p>
      <w:pPr>
        <w:keepLines/>
        <w:numPr>
          <w:ilvl w:val="0"/>
          <w:numId w:val="10"/>
        </w:numPr>
        <w:spacing w:after="160" w:line="280" w:lineRule="auto"/>
        <w:bidi/>
        <w:jc w:val="right"/>
      </w:pPr>
      <w:r>
        <w:rPr>
          <w:rFonts w:ascii="DejaVu Sans" w:hAnsi="DejaVu Sans" w:cs="DejaVu Sans" w:eastAsia="DejaVu Sans"/>
          <w:lang w:val="ar-MA" w:eastAsia="ar-MA" w:bidi="ar-MA"/>
          <w:rtl/>
        </w:rPr>
        <w:t>لدى Notification نموذج قديم بسجل واحد ونموذج أغنى للحدث/المستلم/التسليم/صندوق الصادر؛ وينبغي أن تتقارب القراءات والاحتفاظ نحو دورة حياة واحدة.</w:t>
      </w:r>
    </w:p>
    <w:p>
      <w:pPr>
        <w:keepLines/>
        <w:numPr>
          <w:ilvl w:val="0"/>
          <w:numId w:val="10"/>
        </w:numPr>
        <w:spacing w:after="160" w:line="280" w:lineRule="auto"/>
        <w:bidi/>
        <w:jc w:val="right"/>
      </w:pPr>
      <w:r>
        <w:rPr>
          <w:rFonts w:ascii="DejaVu Sans" w:hAnsi="DejaVu Sans" w:cs="DejaVu Sans" w:eastAsia="DejaVu Sans"/>
          <w:lang w:val="ar-MA" w:eastAsia="ar-MA" w:bidi="ar-MA"/>
          <w:rtl/>
        </w:rPr>
        <w:t>تُمثل الصلة بين Customer وRenter بقيمة مفردة من دون علاقة Prisma معلنة، مما يقلل وضوح المراجع.</w:t>
      </w:r>
    </w:p>
    <w:p>
      <w:pPr>
        <w:keepLines/>
        <w:numPr>
          <w:ilvl w:val="0"/>
          <w:numId w:val="10"/>
        </w:numPr>
        <w:spacing w:after="160" w:line="280" w:lineRule="auto"/>
        <w:bidi/>
        <w:jc w:val="right"/>
      </w:pPr>
      <w:r>
        <w:rPr>
          <w:rFonts w:ascii="DejaVu Sans" w:hAnsi="DejaVu Sans" w:cs="DejaVu Sans" w:eastAsia="DejaVu Sans"/>
          <w:lang w:val="ar-MA" w:eastAsia="ar-MA" w:bidi="ar-MA"/>
          <w:rtl/>
        </w:rPr>
        <w:t>ترحيل الحاويات عنصر نائب بلا أثر، ونموذج CompanyContainer المتوقع غائب، بينما تفترض شفرة الخدمة/الواجهة وجوده.</w:t>
      </w:r>
    </w:p>
    <w:p>
      <w:pPr>
        <w:keepLines/>
        <w:numPr>
          <w:ilvl w:val="0"/>
          <w:numId w:val="10"/>
        </w:numPr>
        <w:spacing w:after="160" w:line="280" w:lineRule="auto"/>
        <w:bidi/>
        <w:jc w:val="right"/>
      </w:pPr>
      <w:r>
        <w:rPr>
          <w:rFonts w:ascii="DejaVu Sans" w:hAnsi="DejaVu Sans" w:cs="DejaVu Sans" w:eastAsia="DejaVu Sans"/>
          <w:lang w:val="ar-MA" w:eastAsia="ar-MA" w:bidi="ar-MA"/>
          <w:rtl/>
        </w:rPr>
        <w:t>لم تُثبت حماية على مستوى الصفوف تفرضها قاعدة البيانات، أو تشفير للحقول، أو أتمتة للاحتفاظ، أو سير عمل لإخفاء هوية البيانات الشخصية.</w:t>
      </w:r>
    </w:p>
    <w:p>
      <w:pPr>
        <w:pStyle w:val="Heading2"/>
        <w:bidi/>
        <w:jc w:val="right"/>
      </w:pPr>
      <w:r>
        <w:rPr>
          <w:rFonts w:ascii="DejaVu Sans" w:hAnsi="DejaVu Sans" w:cs="DejaVu Sans" w:eastAsia="DejaVu Sans"/>
          <w:lang w:val="ar-MA" w:eastAsia="ar-MA" w:bidi="ar-MA"/>
          <w:rtl/>
        </w:rPr>
        <w:t>النسخ الاحتياطي والاستعادة</w:t>
      </w:r>
    </w:p>
    <w:p>
      <w:pPr>
        <w:keepLines w:val="0"/>
        <w:bidi/>
        <w:jc w:val="right"/>
      </w:pPr>
      <w:r>
        <w:rPr>
          <w:rFonts w:ascii="DejaVu Sans" w:hAnsi="DejaVu Sans" w:cs="DejaVu Sans" w:eastAsia="DejaVu Sans"/>
          <w:b w:val="0"/>
          <w:i w:val="0"/>
          <w:lang w:val="ar-MA" w:eastAsia="ar-MA" w:bidi="ar-MA"/>
          <w:rtl/>
        </w:rPr>
        <w:t>تشير برامج الجذر النصية إلى أوامر نسخ احتياطي واستعادة للإنتاج، لكن تنفيذها وبيئة Compose غائبان. لذلك لا توجد أدلة مقدمة على جدول النسخ الاحتياطي أو الاستعادة إلى نقطة زمنية أو التشفير أو الاحتفاظ أو النسخ خارج الموقع أو اختبار الاستعادة أو أهداف التعافي. وهذه بوابة إنتاج لا مجرد تحسين توثيقي.</w:t>
      </w:r>
    </w:p>
    <w:p>
      <w:pPr>
        <w:pStyle w:val="Heading1"/>
        <w:bidi/>
        <w:jc w:val="right"/>
      </w:pPr>
      <w:r>
        <w:rPr>
          <w:rFonts w:ascii="DejaVu Sans" w:hAnsi="DejaVu Sans" w:cs="DejaVu Sans" w:eastAsia="DejaVu Sans"/>
          <w:lang w:val="ar-MA" w:eastAsia="ar-MA" w:bidi="ar-MA"/>
          <w:rtl/>
        </w:rPr>
        <w:t>7. الهوية وتعدد المستأجرين والتحكم في الوصول</w:t>
      </w:r>
    </w:p>
    <w:p>
      <w:pPr>
        <w:pStyle w:val="Heading2"/>
        <w:bidi/>
        <w:jc w:val="right"/>
      </w:pPr>
      <w:r>
        <w:rPr>
          <w:rFonts w:ascii="DejaVu Sans" w:hAnsi="DejaVu Sans" w:cs="DejaVu Sans" w:eastAsia="DejaVu Sans"/>
          <w:lang w:val="ar-MA" w:eastAsia="ar-MA" w:bidi="ar-MA"/>
          <w:rtl/>
        </w:rPr>
        <w:t>نموذج المصادقة</w:t>
      </w:r>
    </w:p>
    <w:p>
      <w:pPr>
        <w:keepLines w:val="0"/>
        <w:bidi/>
        <w:jc w:val="right"/>
      </w:pPr>
      <w:r>
        <w:rPr>
          <w:rFonts w:ascii="DejaVu Sans" w:hAnsi="DejaVu Sans" w:cs="DejaVu Sans" w:eastAsia="DejaVu Sans"/>
          <w:b w:val="0"/>
          <w:i w:val="0"/>
          <w:lang w:val="ar-MA" w:eastAsia="ar-MA" w:bidi="ar-MA"/>
          <w:rtl/>
        </w:rPr>
        <w:t>تستخدم المنصة JWT موقعة بـ HMAC وخوارزمية HS256، ومصدراً rentaldrivego-api، وجماهير مخصصة للإداريين والموظفين والمستأجرين. وقد تصل المصادقة عبر ملفات تعريف ارتباط HttpOnly أو رموز bearer. وسر JWT إلزامي. تختلف إعدادات ملفات تعريف الارتباط حسب الفاعل: ملفات الإدارة تستخدم SameSite=Strict، بينما تستخدم جلسات المتصفح الأخرى Lax؛ وملفات الإنتاج Secure.</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700"/>
        <w:gridCol w:w="3000"/>
        <w:gridCol w:w="466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الفاعل</w:t>
            </w:r>
          </w:p>
        </w:tc>
        <w:tc>
          <w:tcPr>
            <w:tcW w:type="dxa" w:w="30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المصادقة</w:t>
            </w:r>
          </w:p>
        </w:tc>
        <w:tc>
          <w:tcPr>
            <w:tcW w:type="dxa" w:w="46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التفويض</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مدير المنصة</w:t>
            </w:r>
          </w:p>
        </w:tc>
        <w:tc>
          <w:tcPr>
            <w:tcW w:type="dxa" w:w="3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ملف/bearer JWT وحساب إدارة و2FA TOTP</w:t>
            </w:r>
          </w:p>
        </w:tc>
        <w:tc>
          <w:tcPr>
            <w:tcW w:type="dxa" w:w="4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قوائم سماح صريحة: SUPER_ADMIN وADMIN وSUPPORT وFINANCE وVIEWER؛ و2FA حديثة للمسارات الحساسة.</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موظف المستأجر</w:t>
            </w:r>
          </w:p>
        </w:tc>
        <w:tc>
          <w:tcPr>
            <w:tcW w:type="dxa" w:w="3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ملف/bearer JWT والبحث عن الموظف والشركة النشطين</w:t>
            </w:r>
          </w:p>
        </w:tc>
        <w:tc>
          <w:tcPr>
            <w:tcW w:type="dxa" w:w="4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فحوص رتب OWNER / MANAGER / AGENT إضافة إلى بوابات المستأجر والاشتراك.</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المستأجر</w:t>
            </w:r>
          </w:p>
        </w:tc>
        <w:tc>
          <w:tcPr>
            <w:tcW w:type="dxa" w:w="3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جمهور JWT ونموذج الحساب موجودان</w:t>
            </w:r>
          </w:p>
        </w:tc>
        <w:tc>
          <w:tcPr>
            <w:tcW w:type="dxa" w:w="4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تهيمن السوق العامة/للضيف؛ ومسارات دخول/اشتراك المستأجر معطلة في التوجيه المراجع.</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مفتاح API</w:t>
            </w:r>
          </w:p>
        </w:tc>
        <w:tc>
          <w:tcPr>
            <w:tcW w:type="dxa" w:w="3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بحث بالبادئة وتجزئة SHA-256 ومقارنة آمنة زمنياً وإبطال</w:t>
            </w:r>
          </w:p>
        </w:tc>
        <w:tc>
          <w:tcPr>
            <w:tcW w:type="dxa" w:w="4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تكاملات محددة ضمن نطاق بيانات المفتاح الوصفية والمستأجر.</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رمز وصول عام</w:t>
            </w:r>
          </w:p>
        </w:tc>
        <w:tc>
          <w:tcPr>
            <w:tcW w:type="dxa" w:w="3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رمز عشوائي معتم؛ مخزن كتجزئة</w:t>
            </w:r>
          </w:p>
        </w:tc>
        <w:tc>
          <w:tcPr>
            <w:tcW w:type="dxa" w:w="4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وصول ضيق إلى الحجز/المورد العام.</w:t>
            </w:r>
          </w:p>
        </w:tc>
      </w:tr>
    </w:tbl>
    <w:p>
      <w:pPr>
        <w:spacing w:after="20"/>
        <w:bidi/>
        <w:jc w:val="right"/>
      </w:pPr>
    </w:p>
    <w:p>
      <w:pPr>
        <w:pStyle w:val="Heading2"/>
        <w:bidi/>
        <w:jc w:val="right"/>
      </w:pPr>
      <w:r>
        <w:rPr>
          <w:rFonts w:ascii="DejaVu Sans" w:hAnsi="DejaVu Sans" w:cs="DejaVu Sans" w:eastAsia="DejaVu Sans"/>
          <w:lang w:val="ar-MA" w:eastAsia="ar-MA" w:bidi="ar-MA"/>
          <w:rtl/>
        </w:rPr>
        <w:t>نقاط قوة الضوابط</w:t>
      </w:r>
    </w:p>
    <w:p>
      <w:pPr>
        <w:keepLines/>
        <w:numPr>
          <w:ilvl w:val="0"/>
          <w:numId w:val="10"/>
        </w:numPr>
        <w:spacing w:after="160" w:line="280" w:lineRule="auto"/>
        <w:bidi/>
        <w:jc w:val="right"/>
      </w:pPr>
      <w:r>
        <w:rPr>
          <w:rFonts w:ascii="DejaVu Sans" w:hAnsi="DejaVu Sans" w:cs="DejaVu Sans" w:eastAsia="DejaVu Sans"/>
          <w:lang w:val="ar-MA" w:eastAsia="ar-MA" w:bidi="ar-MA"/>
          <w:rtl/>
        </w:rPr>
        <w:t>تستخدم كلمات المرور bcrypt بكلفة 12.</w:t>
      </w:r>
    </w:p>
    <w:p>
      <w:pPr>
        <w:keepLines/>
        <w:numPr>
          <w:ilvl w:val="0"/>
          <w:numId w:val="10"/>
        </w:numPr>
        <w:spacing w:after="160" w:line="280" w:lineRule="auto"/>
        <w:bidi/>
        <w:jc w:val="right"/>
      </w:pPr>
      <w:r>
        <w:rPr>
          <w:rFonts w:ascii="DejaVu Sans" w:hAnsi="DejaVu Sans" w:cs="DejaVu Sans" w:eastAsia="DejaVu Sans"/>
          <w:lang w:val="ar-MA" w:eastAsia="ar-MA" w:bidi="ar-MA"/>
          <w:rtl/>
        </w:rPr>
        <w:t>تُخزن رموز التحقق من البريد ومفاتيح API كقيم مجزأة؛ ومقارنة مفتاح API آمنة زمنياً.</w:t>
      </w:r>
    </w:p>
    <w:p>
      <w:pPr>
        <w:keepLines/>
        <w:numPr>
          <w:ilvl w:val="0"/>
          <w:numId w:val="10"/>
        </w:numPr>
        <w:spacing w:after="160" w:line="280" w:lineRule="auto"/>
        <w:bidi/>
        <w:jc w:val="right"/>
      </w:pPr>
      <w:r>
        <w:rPr>
          <w:rFonts w:ascii="DejaVu Sans" w:hAnsi="DejaVu Sans" w:cs="DejaVu Sans" w:eastAsia="DejaVu Sans"/>
          <w:lang w:val="ar-MA" w:eastAsia="ar-MA" w:bidi="ar-MA"/>
          <w:rtl/>
        </w:rPr>
        <w:t>تسجيل العاملين للإدارة وبوابات حداثة المصادقة صريحة، مع دعم رموز الاسترداد.</w:t>
      </w:r>
    </w:p>
    <w:p>
      <w:pPr>
        <w:keepLines/>
        <w:numPr>
          <w:ilvl w:val="0"/>
          <w:numId w:val="10"/>
        </w:numPr>
        <w:spacing w:after="160" w:line="280" w:lineRule="auto"/>
        <w:bidi/>
        <w:jc w:val="right"/>
      </w:pPr>
      <w:r>
        <w:rPr>
          <w:rFonts w:ascii="DejaVu Sans" w:hAnsi="DejaVu Sans" w:cs="DejaVu Sans" w:eastAsia="DejaVu Sans"/>
          <w:lang w:val="ar-MA" w:eastAsia="ar-MA" w:bidi="ar-MA"/>
          <w:rtl/>
        </w:rPr>
        <w:t>تعيد البرمجية الوسيطة للمستأجر تحميل سياق الشركة النشطة بدلاً من الثقة بمعرف مستأجر يقدمه العميل.</w:t>
      </w:r>
    </w:p>
    <w:p>
      <w:pPr>
        <w:keepLines/>
        <w:numPr>
          <w:ilvl w:val="0"/>
          <w:numId w:val="10"/>
        </w:numPr>
        <w:spacing w:after="160" w:line="280" w:lineRule="auto"/>
        <w:bidi/>
        <w:jc w:val="right"/>
      </w:pPr>
      <w:r>
        <w:rPr>
          <w:rFonts w:ascii="DejaVu Sans" w:hAnsi="DejaVu Sans" w:cs="DejaVu Sans" w:eastAsia="DejaVu Sans"/>
          <w:lang w:val="ar-MA" w:eastAsia="ar-MA" w:bidi="ar-MA"/>
          <w:rtl/>
        </w:rPr>
        <w:t>تميز البرمجية الوسيطة للاشتراك بين حالات القراءة والكتابة والوصول الكامل.</w:t>
      </w:r>
    </w:p>
    <w:p>
      <w:pPr>
        <w:keepLines/>
        <w:numPr>
          <w:ilvl w:val="0"/>
          <w:numId w:val="10"/>
        </w:numPr>
        <w:spacing w:after="160" w:line="280" w:lineRule="auto"/>
        <w:bidi/>
        <w:jc w:val="right"/>
      </w:pPr>
      <w:r>
        <w:rPr>
          <w:rFonts w:ascii="DejaVu Sans" w:hAnsi="DejaVu Sans" w:cs="DejaVu Sans" w:eastAsia="DejaVu Sans"/>
          <w:lang w:val="ar-MA" w:eastAsia="ar-MA" w:bidi="ar-MA"/>
          <w:rtl/>
        </w:rPr>
        <w:t>تحمي فحوص Origin/Referer المسموح بها التغييرات المصادق عليها بملفات تعريف الارتباط لتقليل مخاطر CSRF.</w:t>
      </w:r>
    </w:p>
    <w:p>
      <w:pPr>
        <w:pStyle w:val="Heading2"/>
        <w:bidi/>
        <w:jc w:val="right"/>
      </w:pPr>
      <w:r>
        <w:rPr>
          <w:rFonts w:ascii="DejaVu Sans" w:hAnsi="DejaVu Sans" w:cs="DejaVu Sans" w:eastAsia="DejaVu Sans"/>
          <w:lang w:val="ar-MA" w:eastAsia="ar-MA" w:bidi="ar-MA"/>
          <w:rtl/>
        </w:rPr>
        <w:t>ثغرات الضوابط</w:t>
      </w:r>
    </w:p>
    <w:p>
      <w:pPr>
        <w:keepLines/>
        <w:numPr>
          <w:ilvl w:val="0"/>
          <w:numId w:val="10"/>
        </w:numPr>
        <w:spacing w:after="160" w:line="280" w:lineRule="auto"/>
        <w:bidi/>
        <w:jc w:val="right"/>
      </w:pPr>
      <w:r>
        <w:rPr>
          <w:rFonts w:ascii="DejaVu Sans" w:hAnsi="DejaVu Sans" w:cs="DejaVu Sans" w:eastAsia="DejaVu Sans"/>
          <w:lang w:val="ar-MA" w:eastAsia="ar-MA" w:bidi="ar-MA"/>
          <w:rtl/>
        </w:rPr>
        <w:t>تجمع HS256 التوقيع والتحقق في سر واحد؛ ولم تُثبت إجراءات تدوير الأسرار أو حفظ KMS/HSM أو معرفات المفاتيح أو فترات التداخل.</w:t>
      </w:r>
    </w:p>
    <w:p>
      <w:pPr>
        <w:keepLines/>
        <w:numPr>
          <w:ilvl w:val="0"/>
          <w:numId w:val="10"/>
        </w:numPr>
        <w:spacing w:after="160" w:line="280" w:lineRule="auto"/>
        <w:bidi/>
        <w:jc w:val="right"/>
      </w:pPr>
      <w:r>
        <w:rPr>
          <w:rFonts w:ascii="DejaVu Sans" w:hAnsi="DejaVu Sans" w:cs="DejaVu Sans" w:eastAsia="DejaVu Sans"/>
          <w:lang w:val="ar-MA" w:eastAsia="ar-MA" w:bidi="ar-MA"/>
          <w:rtl/>
        </w:rPr>
        <w:t>تستخدم حدود المعدل افتراضياً ذاكرة محلية للعملية. لذلك لا تتنسق سياسات الفاعل/IP بين النسخ وتُعاد ضبطها عند إعادة التشغيل.</w:t>
      </w:r>
    </w:p>
    <w:p>
      <w:pPr>
        <w:keepLines/>
        <w:numPr>
          <w:ilvl w:val="0"/>
          <w:numId w:val="10"/>
        </w:numPr>
        <w:spacing w:after="160" w:line="280" w:lineRule="auto"/>
        <w:bidi/>
        <w:jc w:val="right"/>
      </w:pPr>
      <w:r>
        <w:rPr>
          <w:rFonts w:ascii="DejaVu Sans" w:hAnsi="DejaVu Sans" w:cs="DejaVu Sans" w:eastAsia="DejaVu Sans"/>
          <w:lang w:val="ar-MA" w:eastAsia="ar-MA" w:bidi="ar-MA"/>
          <w:rtl/>
        </w:rPr>
        <w:t>يخزن مسار دعوة الفريق رمزاً خاماً لإعادة تعيين كلمة المرور في قاعدة البيانات؛ وينبغي إزالة تعرض الرمز أثناء السكون بتخزين تجزئة فقط أو مرجع تبادل لمرة واحدة.</w:t>
      </w:r>
    </w:p>
    <w:p>
      <w:pPr>
        <w:keepLines/>
        <w:numPr>
          <w:ilvl w:val="0"/>
          <w:numId w:val="10"/>
        </w:numPr>
        <w:spacing w:after="160" w:line="280" w:lineRule="auto"/>
        <w:bidi/>
        <w:jc w:val="right"/>
      </w:pPr>
      <w:r>
        <w:rPr>
          <w:rFonts w:ascii="DejaVu Sans" w:hAnsi="DejaVu Sans" w:cs="DejaVu Sans" w:eastAsia="DejaVu Sans"/>
          <w:lang w:val="ar-MA" w:eastAsia="ar-MA" w:bidi="ar-MA"/>
          <w:rtl/>
        </w:rPr>
        <w:t>تحتفظ بعض سلوكيات إعادة تعيين كلمة المرور بمسارات توافق قديمة؛ وينبغي أن يحل بروتوكول واحد ذو إصدار محل الدلالات المختلطة.</w:t>
      </w:r>
    </w:p>
    <w:p>
      <w:pPr>
        <w:keepLines/>
        <w:numPr>
          <w:ilvl w:val="0"/>
          <w:numId w:val="10"/>
        </w:numPr>
        <w:spacing w:after="160" w:line="280" w:lineRule="auto"/>
        <w:bidi/>
        <w:jc w:val="right"/>
      </w:pPr>
      <w:r>
        <w:rPr>
          <w:rFonts w:ascii="DejaVu Sans" w:hAnsi="DejaVu Sans" w:cs="DejaVu Sans" w:eastAsia="DejaVu Sans"/>
          <w:lang w:val="ar-MA" w:eastAsia="ar-MA" w:bidi="ar-MA"/>
          <w:rtl/>
        </w:rPr>
        <w:t>بوابة واجهة الإدارة في جهة العميل لتحسين التجربة، لذلك يجب أن يبقى كل مسار خادم/API مرجعياً؛ تبدو فحوص الخلفية موجودة، لكن ينبغي لاختبارات العقود إثبات الحدود.</w:t>
      </w:r>
    </w:p>
    <w:p>
      <w:pPr>
        <w:keepLines/>
        <w:numPr>
          <w:ilvl w:val="0"/>
          <w:numId w:val="10"/>
        </w:numPr>
        <w:spacing w:after="160" w:line="280" w:lineRule="auto"/>
        <w:bidi/>
        <w:jc w:val="right"/>
      </w:pPr>
      <w:r>
        <w:rPr>
          <w:rFonts w:ascii="DejaVu Sans" w:hAnsi="DejaVu Sans" w:cs="DejaVu Sans" w:eastAsia="DejaVu Sans"/>
          <w:lang w:val="ar-MA" w:eastAsia="ar-MA" w:bidi="ar-MA"/>
          <w:rtl/>
        </w:rPr>
        <w:t>لا يوجد محرك مركزي لسياسات التفويض؛ وقد تنحرف قوائم الأدوار على مستوى المسارات مع نمو السطح.</w:t>
      </w:r>
    </w:p>
    <w:p>
      <w:pPr>
        <w:keepLines/>
        <w:spacing w:before="100" w:after="200"/>
        <w:ind w:left="173" w:right="115"/>
        <w:shd w:fill="EAF5EF"/>
        <w:pBdr>
          <w:left w:val="single" w:sz="20" w:space="8" w:color="1F5E46"/>
        </w:pBdr>
        <w:bidi/>
        <w:jc w:val="right"/>
      </w:pPr>
      <w:r>
        <w:rPr>
          <w:rFonts w:ascii="DejaVu Sans" w:hAnsi="DejaVu Sans" w:cs="DejaVu Sans" w:eastAsia="DejaVu Sans"/>
          <w:b/>
          <w:color w:val="1F5E46"/>
          <w:lang w:val="ar-MA" w:eastAsia="ar-MA" w:bidi="ar-MA"/>
          <w:rtl/>
        </w:rPr>
        <w:t xml:space="preserve">القراءة الاستثمارية  </w:t>
      </w:r>
      <w:r>
        <w:rPr>
          <w:rFonts w:ascii="DejaVu Sans" w:hAnsi="DejaVu Sans" w:cs="DejaVu Sans" w:eastAsia="DejaVu Sans"/>
          <w:color w:val="101828"/>
          <w:lang w:val="ar-MA" w:eastAsia="ar-MA" w:bidi="ar-MA"/>
          <w:rtl/>
        </w:rPr>
        <w:t>ضوابط الهوية والمستأجرين أقوى مادياً من طبقة الحزم والعمليات. ينبغي أن يركز الإنفاق الأمني التالي على إثبات الإنفاذ باستمرار، عبر اختبارات السياسات المركزية وتدوير الأسرار وبوابات الاعتماديات واكتمال التدقيق وقياسات الإنتاج، بدلاً من استبدال نموذج المصادقة بالكامل.</w:t>
      </w:r>
    </w:p>
    <w:p>
      <w:pPr>
        <w:pStyle w:val="Heading1"/>
        <w:bidi/>
        <w:jc w:val="right"/>
      </w:pPr>
      <w:r>
        <w:rPr>
          <w:rFonts w:ascii="DejaVu Sans" w:hAnsi="DejaVu Sans" w:cs="DejaVu Sans" w:eastAsia="DejaVu Sans"/>
          <w:lang w:val="ar-MA" w:eastAsia="ar-MA" w:bidi="ar-MA"/>
          <w:rtl/>
        </w:rPr>
        <w:t>8. الحجز وتدفقات العمل التشغيلية</w:t>
      </w:r>
    </w:p>
    <w:p>
      <w:pPr>
        <w:keepLines/>
        <w:spacing w:before="120" w:after="40"/>
        <w:jc w:val="center"/>
        <w:bidi/>
      </w:pPr>
      <w:r>
        <w:rPr>
          <w:lang w:val="en-US" w:eastAsia="en-US" w:bidi="en-US"/>
        </w:rPr>
        <w:drawing>
          <wp:inline xmlns:a="http://schemas.openxmlformats.org/drawingml/2006/main" xmlns:pic="http://schemas.openxmlformats.org/drawingml/2006/picture">
            <wp:extent cx="5760720" cy="3200400"/>
            <wp:docPr id="4" name="Picture 4" descr="الشكل 4. دورة حياة عميل مبسطة من اكتشاف السوق إلى تأكيد الدفع الموقع وعمليات التأجير." title="Booking Lifecycle"/>
            <wp:cNvGraphicFramePr>
              <a:graphicFrameLocks noChangeAspect="1"/>
            </wp:cNvGraphicFramePr>
            <a:graphic>
              <a:graphicData uri="http://schemas.openxmlformats.org/drawingml/2006/picture">
                <pic:pic>
                  <pic:nvPicPr>
                    <pic:cNvPr id="0" name="booking_lifecycle.png"/>
                    <pic:cNvPicPr/>
                  </pic:nvPicPr>
                  <pic:blipFill>
                    <a:blip r:embed="rId14"/>
                    <a:stretch>
                      <a:fillRect/>
                    </a:stretch>
                  </pic:blipFill>
                  <pic:spPr>
                    <a:xfrm>
                      <a:off x="0" y="0"/>
                      <a:ext cx="5760720" cy="3200400"/>
                    </a:xfrm>
                    <a:prstGeom prst="rect"/>
                  </pic:spPr>
                </pic:pic>
              </a:graphicData>
            </a:graphic>
          </wp:inline>
        </w:drawing>
      </w:r>
    </w:p>
    <w:p>
      <w:pPr>
        <w:pStyle w:val="Caption"/>
        <w:keepNext w:val="0"/>
        <w:bidi/>
        <w:jc w:val="right"/>
      </w:pPr>
      <w:r>
        <w:rPr>
          <w:rFonts w:ascii="DejaVu Sans" w:hAnsi="DejaVu Sans" w:cs="DejaVu Sans" w:eastAsia="DejaVu Sans"/>
          <w:lang w:val="ar-MA" w:eastAsia="ar-MA" w:bidi="ar-MA"/>
          <w:rtl/>
        </w:rPr>
        <w:t>الشكل 4. دورة حياة عميل مبسطة من اكتشاف السوق إلى تأكيد الدفع الموقع وعمليات التأجير.</w:t>
      </w:r>
    </w:p>
    <w:p>
      <w:pPr>
        <w:pStyle w:val="Heading2"/>
        <w:bidi/>
        <w:jc w:val="right"/>
      </w:pPr>
      <w:r>
        <w:rPr>
          <w:rFonts w:ascii="DejaVu Sans" w:hAnsi="DejaVu Sans" w:cs="DejaVu Sans" w:eastAsia="DejaVu Sans"/>
          <w:lang w:val="ar-MA" w:eastAsia="ar-MA" w:bidi="ar-MA"/>
          <w:rtl/>
        </w:rPr>
        <w:t>تدفق السوق</w:t>
      </w:r>
    </w:p>
    <w:p>
      <w:pPr>
        <w:keepLines w:val="0"/>
        <w:bidi/>
        <w:jc w:val="right"/>
      </w:pPr>
      <w:r>
        <w:rPr>
          <w:rFonts w:ascii="DejaVu Sans" w:hAnsi="DejaVu Sans" w:cs="DejaVu Sans" w:eastAsia="DejaVu Sans"/>
          <w:b w:val="0"/>
          <w:i w:val="0"/>
          <w:lang w:val="ar-MA" w:eastAsia="ar-MA" w:bidi="ar-MA"/>
          <w:rtl/>
        </w:rPr>
        <w:t>يتيح Carplace اكتشافاً عابراً للمستأجرين بينما تحمي API عمليات المستأجر الخاصة. يمكن للضيف البحث بالموقع/التاريخ وفحص صفحات الشركة والمركبة والحصول على بيانات التوافر/التسعير وإرسال طلب حجز عبر شاشات مرحلية للرحلة/الاتصال/المراجعة. ونُمذجت أحداث القمع لتحليل التحويل.</w:t>
      </w:r>
    </w:p>
    <w:p>
      <w:pPr>
        <w:pStyle w:val="Heading2"/>
        <w:bidi/>
        <w:jc w:val="right"/>
      </w:pPr>
      <w:r>
        <w:rPr>
          <w:rFonts w:ascii="DejaVu Sans" w:hAnsi="DejaVu Sans" w:cs="DejaVu Sans" w:eastAsia="DejaVu Sans"/>
          <w:lang w:val="ar-MA" w:eastAsia="ar-MA" w:bidi="ar-MA"/>
          <w:rtl/>
        </w:rPr>
        <w:t>العمق التشغيلي للحجوزات</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700"/>
        <w:gridCol w:w="4150"/>
        <w:gridCol w:w="351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المرحلة</w:t>
            </w:r>
          </w:p>
        </w:tc>
        <w:tc>
          <w:tcPr>
            <w:tcW w:type="dxa" w:w="41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الأدلة في الشفرة/البيانات</w:t>
            </w:r>
          </w:p>
        </w:tc>
        <w:tc>
          <w:tcPr>
            <w:tcW w:type="dxa" w:w="351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حاجة الرقابة الرئيسية</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التوافر وعرض السعر</w:t>
            </w:r>
          </w:p>
        </w:tc>
        <w:tc>
          <w:tcPr>
            <w:tcW w:type="dxa" w:w="4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كتل تقويم المركبات وحالة الحجز وإعداد/قواعد/تاريخ التسعير والعروض</w:t>
            </w:r>
          </w:p>
        </w:tc>
        <w:tc>
          <w:tcPr>
            <w:tcW w:type="dxa" w:w="35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كشف تعارضات معاملاتي وإصدارات حتمية للأسعار.</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استقبال العميل</w:t>
            </w:r>
          </w:p>
        </w:tc>
        <w:tc>
          <w:tcPr>
            <w:tcW w:type="dxa" w:w="4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سجلات العميل والمستأجر وبيانات/صور الرخص والسائقون الإضافيون</w:t>
            </w:r>
          </w:p>
        </w:tc>
        <w:tc>
          <w:tcPr>
            <w:tcW w:type="dxa" w:w="35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الموافقة والتحقق والتشفير والاحتفاظ والوصول بأقل امتياز.</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التأكيد</w:t>
            </w:r>
          </w:p>
        </w:tc>
        <w:tc>
          <w:tcPr>
            <w:tcW w:type="dxa" w:w="4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دورة حياة الحجز ورمز الوصول العام وسجلات الدفع</w:t>
            </w:r>
          </w:p>
        </w:tc>
        <w:tc>
          <w:tcPr>
            <w:tcW w:type="dxa" w:w="35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انتقالات غير مكررة ومطابقة المزود.</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العقد والتسليم</w:t>
            </w:r>
          </w:p>
        </w:tc>
        <w:tc>
          <w:tcPr>
            <w:tcW w:type="dxa" w:w="4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إعدادات العقد وPDF والصور والتأمين والفحوص ونقاط الضرر</w:t>
            </w:r>
          </w:p>
        </w:tc>
        <w:tc>
          <w:tcPr>
            <w:tcW w:type="dxa" w:w="35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طوابع زمنية ثابتة وسلامة المستند وأدلة التدقيق والتخزين الخاص.</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الإرجاع وما بعد الخدمة</w:t>
            </w:r>
          </w:p>
        </w:tc>
        <w:tc>
          <w:tcPr>
            <w:tcW w:type="dxa" w:w="41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تقارير الأضرار والمراجعات والشكاوى والإشعارات</w:t>
            </w:r>
          </w:p>
        </w:tc>
        <w:tc>
          <w:tcPr>
            <w:tcW w:type="dxa" w:w="35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أدلة النزاع والاحتفاظ والتواصل مع العميل وSLA الدعم.</w:t>
            </w:r>
          </w:p>
        </w:tc>
      </w:tr>
    </w:tbl>
    <w:p>
      <w:pPr>
        <w:spacing w:after="20"/>
        <w:bidi/>
        <w:jc w:val="right"/>
      </w:pPr>
    </w:p>
    <w:p>
      <w:pPr>
        <w:pStyle w:val="Heading2"/>
        <w:bidi/>
        <w:jc w:val="right"/>
      </w:pPr>
      <w:r>
        <w:rPr>
          <w:rFonts w:ascii="DejaVu Sans" w:hAnsi="DejaVu Sans" w:cs="DejaVu Sans" w:eastAsia="DejaVu Sans"/>
          <w:lang w:val="ar-MA" w:eastAsia="ar-MA" w:bidi="ar-MA"/>
          <w:rtl/>
        </w:rPr>
        <w:t>التزامن والسلامة</w:t>
      </w:r>
    </w:p>
    <w:p>
      <w:pPr>
        <w:keepLines w:val="0"/>
        <w:bidi/>
        <w:jc w:val="right"/>
      </w:pPr>
      <w:r>
        <w:rPr>
          <w:rFonts w:ascii="DejaVu Sans" w:hAnsi="DejaVu Sans" w:cs="DejaVu Sans" w:eastAsia="DejaVu Sans"/>
          <w:b w:val="0"/>
          <w:i w:val="0"/>
          <w:lang w:val="ar-MA" w:eastAsia="ar-MA" w:bidi="ar-MA"/>
          <w:rtl/>
        </w:rPr>
        <w:t>تفشل منصة التأجير تجارياً عندما يستطيع عميلان حجز الأصل نفسه، أو تُنشئ إعادة المحاولة طلبات مكررة، أو يُعالج خطاف ويب مرتين، أو يتغير السعر بعد الالتزام. تحتوي الشفرة على حمايات مفيدة، منها معاملات في مسارات الخدمات وسجلات عدم تكرار لخطافات المزودين وتجزئات الحمولة والتحقق من الحالة، لكن ذاكرة عدم تكرار الحجز العام محلية ويجب نقلها إلى مخزن مشترك أو قيد تفرد في قاعدة البيانات قبل التشغيل متعدد النسخ.</w:t>
      </w:r>
    </w:p>
    <w:p>
      <w:pPr>
        <w:keepLines/>
        <w:numPr>
          <w:ilvl w:val="0"/>
          <w:numId w:val="10"/>
        </w:numPr>
        <w:spacing w:after="160" w:line="280" w:lineRule="auto"/>
        <w:bidi/>
        <w:jc w:val="right"/>
      </w:pPr>
      <w:r>
        <w:rPr>
          <w:rFonts w:ascii="DejaVu Sans" w:hAnsi="DejaVu Sans" w:cs="DejaVu Sans" w:eastAsia="DejaVu Sans"/>
          <w:lang w:val="ar-MA" w:eastAsia="ar-MA" w:bidi="ar-MA"/>
          <w:rtl/>
        </w:rPr>
        <w:t>استخدموا استراتيجية تفرد/استبعاد في قاعدة البيانات أو أمر حجز قابل للتسلسل حول تداخل المركبة/الوقت، لا توافر الواجهة وحده.</w:t>
      </w:r>
    </w:p>
    <w:p>
      <w:pPr>
        <w:keepLines/>
        <w:numPr>
          <w:ilvl w:val="0"/>
          <w:numId w:val="10"/>
        </w:numPr>
        <w:spacing w:after="160" w:line="280" w:lineRule="auto"/>
        <w:bidi/>
        <w:jc w:val="right"/>
      </w:pPr>
      <w:r>
        <w:rPr>
          <w:rFonts w:ascii="DejaVu Sans" w:hAnsi="DejaVu Sans" w:cs="DejaVu Sans" w:eastAsia="DejaVu Sans"/>
          <w:lang w:val="ar-MA" w:eastAsia="ar-MA" w:bidi="ar-MA"/>
          <w:rtl/>
        </w:rPr>
        <w:t>احفظوا مدخلات عرض السعر وإصدار القاعدة والضرائب/الرسوم ومصدر الخصم والعملة والإجماليات كلقطة ثابتة عند الالتزام.</w:t>
      </w:r>
    </w:p>
    <w:p>
      <w:pPr>
        <w:keepLines/>
        <w:numPr>
          <w:ilvl w:val="0"/>
          <w:numId w:val="10"/>
        </w:numPr>
        <w:spacing w:after="160" w:line="280" w:lineRule="auto"/>
        <w:bidi/>
        <w:jc w:val="right"/>
      </w:pPr>
      <w:r>
        <w:rPr>
          <w:rFonts w:ascii="DejaVu Sans" w:hAnsi="DejaVu Sans" w:cs="DejaVu Sans" w:eastAsia="DejaVu Sans"/>
          <w:lang w:val="ar-MA" w:eastAsia="ar-MA" w:bidi="ar-MA"/>
          <w:rtl/>
        </w:rPr>
        <w:t>اطلبوا مفتاح عدم تكرار من العميل لكل أمر إنشاء/دفع/استرداد؛ وافرضوه في PostgreSQL أو Redis ضمن نطاق المستأجر ونقطة النهاية.</w:t>
      </w:r>
    </w:p>
    <w:p>
      <w:pPr>
        <w:keepLines/>
        <w:numPr>
          <w:ilvl w:val="0"/>
          <w:numId w:val="10"/>
        </w:numPr>
        <w:spacing w:after="160" w:line="280" w:lineRule="auto"/>
        <w:bidi/>
        <w:jc w:val="right"/>
      </w:pPr>
      <w:r>
        <w:rPr>
          <w:rFonts w:ascii="DejaVu Sans" w:hAnsi="DejaVu Sans" w:cs="DejaVu Sans" w:eastAsia="DejaVu Sans"/>
          <w:lang w:val="ar-MA" w:eastAsia="ar-MA" w:bidi="ar-MA"/>
          <w:rtl/>
        </w:rPr>
        <w:t>نمذجوا الانتقالات كأوامر صريحة بحالات سابقة مسموحة ووقائع تدقيق للإضافة فقط للأحداث المالية وأحداث التسليم.</w:t>
      </w:r>
    </w:p>
    <w:p>
      <w:pPr>
        <w:pStyle w:val="Heading2"/>
        <w:bidi/>
        <w:jc w:val="right"/>
      </w:pPr>
      <w:r>
        <w:rPr>
          <w:rFonts w:ascii="DejaVu Sans" w:hAnsi="DejaVu Sans" w:cs="DejaVu Sans" w:eastAsia="DejaVu Sans"/>
          <w:lang w:val="ar-MA" w:eastAsia="ar-MA" w:bidi="ar-MA"/>
          <w:rtl/>
        </w:rPr>
        <w:t>ادعاء التحقق من الرخصة</w:t>
      </w:r>
    </w:p>
    <w:p>
      <w:pPr>
        <w:keepLines/>
        <w:spacing w:before="100" w:after="200"/>
        <w:ind w:left="173" w:right="115"/>
        <w:shd w:fill="FDECEC"/>
        <w:pBdr>
          <w:left w:val="single" w:sz="20" w:space="8" w:color="9B1C1C"/>
        </w:pBdr>
        <w:bidi/>
        <w:jc w:val="right"/>
      </w:pPr>
      <w:r>
        <w:rPr>
          <w:rFonts w:ascii="DejaVu Sans" w:hAnsi="DejaVu Sans" w:cs="DejaVu Sans" w:eastAsia="DejaVu Sans"/>
          <w:b/>
          <w:color w:val="9B1C1C"/>
          <w:lang w:val="ar-MA" w:eastAsia="ar-MA" w:bidi="ar-MA"/>
          <w:rtl/>
        </w:rPr>
        <w:t xml:space="preserve">لا تبالغوا  </w:t>
      </w:r>
      <w:r>
        <w:rPr>
          <w:rFonts w:ascii="DejaVu Sans" w:hAnsi="DejaVu Sans" w:cs="DejaVu Sans" w:eastAsia="DejaVu Sans"/>
          <w:color w:val="101828"/>
          <w:lang w:val="ar-MA" w:eastAsia="ar-MA" w:bidi="ar-MA"/>
          <w:rtl/>
        </w:rPr>
        <w:t>التحقق من الرخصة الذي تمت مراجعته هو تحليل تاريخ ومنطق انتهاء صلاحية. ولا يمثل دليلاً على OCR أو فحوص أصالة المستند أو التحقق من الحيوية أو المقارنة الحيوية أو فحص العقوبات أو تحقق هوية منظم.</w:t>
      </w:r>
    </w:p>
    <w:p>
      <w:pPr>
        <w:pStyle w:val="Heading1"/>
        <w:bidi/>
        <w:jc w:val="right"/>
      </w:pPr>
      <w:r>
        <w:rPr>
          <w:rFonts w:ascii="DejaVu Sans" w:hAnsi="DejaVu Sans" w:cs="DejaVu Sans" w:eastAsia="DejaVu Sans"/>
          <w:lang w:val="ar-MA" w:eastAsia="ar-MA" w:bidi="ar-MA"/>
          <w:rtl/>
        </w:rPr>
        <w:t>9. التصميم التجاري والاشتراكات والفوترة</w:t>
      </w:r>
    </w:p>
    <w:p>
      <w:pPr>
        <w:pStyle w:val="Heading2"/>
        <w:bidi/>
        <w:jc w:val="right"/>
      </w:pPr>
      <w:r>
        <w:rPr>
          <w:rFonts w:ascii="DejaVu Sans" w:hAnsi="DejaVu Sans" w:cs="DejaVu Sans" w:eastAsia="DejaVu Sans"/>
          <w:lang w:val="ar-MA" w:eastAsia="ar-MA" w:bidi="ar-MA"/>
          <w:rtl/>
        </w:rPr>
        <w:t>كتالوج الخطط</w:t>
      </w:r>
    </w:p>
    <w:p>
      <w:pPr>
        <w:keepLines w:val="0"/>
        <w:bidi/>
        <w:jc w:val="right"/>
      </w:pPr>
      <w:r>
        <w:rPr>
          <w:rFonts w:ascii="DejaVu Sans" w:hAnsi="DejaVu Sans" w:cs="DejaVu Sans" w:eastAsia="DejaVu Sans"/>
          <w:b w:val="0"/>
          <w:i w:val="0"/>
          <w:lang w:val="ar-MA" w:eastAsia="ar-MA" w:bidi="ar-MA"/>
          <w:rtl/>
        </w:rPr>
        <w:t>تحدد الشفرة المشتركة أربع خطط وأسعاراً بالدرهم. ويفرض إنشاء المركبات حدود الأسطول حسب الخطة. وتقود حالة الاشتراك أنماط الوصول وتتضمن نوافذ زمنية آلية للتجربة وانتظار الدفع والتأخر والتعليق والإلغاء.</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2100"/>
        <w:gridCol w:w="1600"/>
        <w:gridCol w:w="1850"/>
        <w:gridCol w:w="3810"/>
      </w:tblGrid>
      <w:tr>
        <w:trPr>
          <w:tblHeader w:val="true"/>
          <w:cantSplit/>
        </w:trPr>
        <w:tc>
          <w:tcPr>
            <w:tcW w:type="dxa" w:w="21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الخطة</w:t>
            </w:r>
          </w:p>
        </w:tc>
        <w:tc>
          <w:tcPr>
            <w:tcW w:type="dxa" w:w="16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شهري</w:t>
            </w:r>
          </w:p>
        </w:tc>
        <w:tc>
          <w:tcPr>
            <w:tcW w:type="dxa" w:w="18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سنوي</w:t>
            </w:r>
          </w:p>
        </w:tc>
        <w:tc>
          <w:tcPr>
            <w:tcW w:type="dxa" w:w="381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حد الأسطول في الخدمة</w:t>
            </w:r>
          </w:p>
        </w:tc>
      </w:tr>
      <w:tr>
        <w:trPr>
          <w:cantSplit/>
        </w:trPr>
        <w:tc>
          <w:tcPr>
            <w:tcW w:type="dxa" w:w="2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‎STARTER‎</w:t>
            </w:r>
          </w:p>
        </w:tc>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‎149 MAD‎</w:t>
            </w:r>
          </w:p>
        </w:tc>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‎1,430.40 MAD‎</w:t>
            </w:r>
          </w:p>
        </w:tc>
        <w:tc>
          <w:tcPr>
            <w:tcW w:type="dxa" w:w="38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25 مركبة</w:t>
            </w:r>
          </w:p>
        </w:tc>
      </w:tr>
      <w:tr>
        <w:trPr>
          <w:cantSplit/>
        </w:trPr>
        <w:tc>
          <w:tcPr>
            <w:tcW w:type="dxa" w:w="2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‎GROWTH‎</w:t>
            </w:r>
          </w:p>
        </w:tc>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‎299 MAD‎</w:t>
            </w:r>
          </w:p>
        </w:tc>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‎2,870.40 MAD‎</w:t>
            </w:r>
          </w:p>
        </w:tc>
        <w:tc>
          <w:tcPr>
            <w:tcW w:type="dxa" w:w="38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75 مركبة</w:t>
            </w:r>
          </w:p>
        </w:tc>
      </w:tr>
      <w:tr>
        <w:trPr>
          <w:cantSplit/>
        </w:trPr>
        <w:tc>
          <w:tcPr>
            <w:tcW w:type="dxa" w:w="2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‎PRO‎</w:t>
            </w:r>
          </w:p>
        </w:tc>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‎399 MAD‎</w:t>
            </w:r>
          </w:p>
        </w:tc>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‎3,830.40 MAD‎</w:t>
            </w:r>
          </w:p>
        </w:tc>
        <w:tc>
          <w:tcPr>
            <w:tcW w:type="dxa" w:w="38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150 مركبة</w:t>
            </w:r>
          </w:p>
        </w:tc>
      </w:tr>
      <w:tr>
        <w:trPr>
          <w:cantSplit/>
        </w:trPr>
        <w:tc>
          <w:tcPr>
            <w:tcW w:type="dxa" w:w="2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‎ENTERPRISE‎</w:t>
            </w:r>
          </w:p>
        </w:tc>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‎599 MAD‎</w:t>
            </w:r>
          </w:p>
        </w:tc>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‎5,750.40 MAD‎</w:t>
            </w:r>
          </w:p>
        </w:tc>
        <w:tc>
          <w:tcPr>
            <w:tcW w:type="dxa" w:w="381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غير محدود</w:t>
            </w:r>
          </w:p>
        </w:tc>
      </w:tr>
    </w:tbl>
    <w:p>
      <w:pPr>
        <w:spacing w:after="20"/>
        <w:bidi/>
        <w:jc w:val="right"/>
      </w:pPr>
    </w:p>
    <w:p>
      <w:pPr>
        <w:pStyle w:val="Heading2"/>
        <w:bidi/>
        <w:jc w:val="right"/>
      </w:pPr>
      <w:r>
        <w:rPr>
          <w:rFonts w:ascii="DejaVu Sans" w:hAnsi="DejaVu Sans" w:cs="DejaVu Sans" w:eastAsia="DejaVu Sans"/>
          <w:lang w:val="ar-MA" w:eastAsia="ar-MA" w:bidi="ar-MA"/>
          <w:rtl/>
        </w:rPr>
        <w:t>عدم اتساق الكتالوج</w:t>
      </w:r>
    </w:p>
    <w:p>
      <w:pPr>
        <w:keepLines w:val="0"/>
        <w:bidi/>
        <w:jc w:val="right"/>
      </w:pPr>
      <w:r>
        <w:rPr>
          <w:rFonts w:ascii="DejaVu Sans" w:hAnsi="DejaVu Sans" w:cs="DejaVu Sans" w:eastAsia="DejaVu Sans"/>
          <w:b w:val="0"/>
          <w:i w:val="0"/>
          <w:lang w:val="ar-MA" w:eastAsia="ar-MA" w:bidi="ar-MA"/>
          <w:rtl/>
        </w:rPr>
        <w:t>يعلن إعداد التسعير في الصفحة الرئيسية Launch بسعر 149 درهماً وGrowth بسعر 299 درهماً وEnterprise كسعر مخصص. ويحذف PRO ولا يطابق أسماء/أسعار الخطط الأربع المشتركة. كما يصف الإعداد الأسعار العامة بأنها معتمدة. وهذه مخاطرة مباشرة لانحراف المبيعات عن الاستحقاقات: قد يُعرض على المشترين كتالوج بينما تفرض الشفرة آخر.</w:t>
      </w:r>
    </w:p>
    <w:p>
      <w:pPr>
        <w:keepLines/>
        <w:numPr>
          <w:ilvl w:val="0"/>
          <w:numId w:val="10"/>
        </w:numPr>
        <w:spacing w:after="160" w:line="280" w:lineRule="auto"/>
        <w:bidi/>
        <w:jc w:val="right"/>
      </w:pPr>
      <w:r>
        <w:rPr>
          <w:rFonts w:ascii="DejaVu Sans" w:hAnsi="DejaVu Sans" w:cs="DejaVu Sans" w:eastAsia="DejaVu Sans"/>
          <w:lang w:val="ar-MA" w:eastAsia="ar-MA" w:bidi="ar-MA"/>
          <w:rtl/>
        </w:rPr>
        <w:t>أنشئوا كتالوج خطط واحداً ومصدر حقيقة واحداً للاستحقاقات تستهلكه التسويق والدفع وإنفاذ API وأوصاف الفواتير وأدوات الإدارة.</w:t>
      </w:r>
    </w:p>
    <w:p>
      <w:pPr>
        <w:keepLines/>
        <w:numPr>
          <w:ilvl w:val="0"/>
          <w:numId w:val="10"/>
        </w:numPr>
        <w:spacing w:after="160" w:line="280" w:lineRule="auto"/>
        <w:bidi/>
        <w:jc w:val="right"/>
      </w:pPr>
      <w:r>
        <w:rPr>
          <w:rFonts w:ascii="DejaVu Sans" w:hAnsi="DejaVu Sans" w:cs="DejaVu Sans" w:eastAsia="DejaVu Sans"/>
          <w:lang w:val="ar-MA" w:eastAsia="ar-MA" w:bidi="ar-MA"/>
          <w:rtl/>
        </w:rPr>
        <w:t>لا تحللوا تسميات PlanFeature المقروءة لتحديد الحدود. خزّنوا مفاتيح استحقاق ذات أنواع وقيماً رقمية/نصية.</w:t>
      </w:r>
    </w:p>
    <w:p>
      <w:pPr>
        <w:keepLines/>
        <w:numPr>
          <w:ilvl w:val="0"/>
          <w:numId w:val="10"/>
        </w:numPr>
        <w:spacing w:after="160" w:line="280" w:lineRule="auto"/>
        <w:bidi/>
        <w:jc w:val="right"/>
      </w:pPr>
      <w:r>
        <w:rPr>
          <w:rFonts w:ascii="DejaVu Sans" w:hAnsi="DejaVu Sans" w:cs="DejaVu Sans" w:eastAsia="DejaVu Sans"/>
          <w:lang w:val="ar-MA" w:eastAsia="ar-MA" w:bidi="ar-MA"/>
          <w:rtl/>
        </w:rPr>
        <w:t>أضيفوا اختبارات عقود تثبت أن كل استحقاق معلن يُفرض وأن كل حد مفروض موصوف في الكتالوج التجاري.</w:t>
      </w:r>
    </w:p>
    <w:p>
      <w:pPr>
        <w:pStyle w:val="Heading2"/>
        <w:bidi/>
        <w:jc w:val="right"/>
      </w:pPr>
      <w:r>
        <w:rPr>
          <w:rFonts w:ascii="DejaVu Sans" w:hAnsi="DejaVu Sans" w:cs="DejaVu Sans" w:eastAsia="DejaVu Sans"/>
          <w:lang w:val="ar-MA" w:eastAsia="ar-MA" w:bidi="ar-MA"/>
          <w:rtl/>
        </w:rPr>
        <w:t>آلة حالات الاشتراك</w:t>
      </w:r>
    </w:p>
    <w:p>
      <w:pPr>
        <w:keepLines w:val="0"/>
        <w:bidi/>
        <w:jc w:val="right"/>
      </w:pPr>
      <w:r>
        <w:rPr>
          <w:rFonts w:ascii="DejaVu Sans" w:hAnsi="DejaVu Sans" w:cs="DejaVu Sans" w:eastAsia="DejaVu Sans"/>
          <w:b w:val="0"/>
          <w:i w:val="0"/>
          <w:lang w:val="ar-MA" w:eastAsia="ar-MA" w:bidi="ar-MA"/>
          <w:rtl/>
        </w:rPr>
        <w:t>تشمل القواعد المراجعة تجربة 30 يوماً ونافذة انتظار دفع لسبعة أيام وفترة تأخر سبعة أيام وتعليقاً ثم إلغاء قرابة اليوم 16. وتميز خرائط الوصول أوضاع القراءة/الكتابة/الكامل. ينبغي تحويل هذه القواعد إلى آلة حالات صريحة برموز أسباب وطوابع زمنية للنفاذ وأحداث قابلة لإعادة التشغيل وجدولة/طابور واحد، لأن قرارات الوصول تؤثر في الإيرادات وعمليات العملاء.</w:t>
      </w:r>
    </w:p>
    <w:p>
      <w:pPr>
        <w:pStyle w:val="Heading2"/>
        <w:bidi/>
        <w:jc w:val="right"/>
      </w:pPr>
      <w:r>
        <w:rPr>
          <w:rFonts w:ascii="DejaVu Sans" w:hAnsi="DejaVu Sans" w:cs="DejaVu Sans" w:eastAsia="DejaVu Sans"/>
          <w:lang w:val="ar-MA" w:eastAsia="ar-MA" w:bidi="ar-MA"/>
          <w:rtl/>
        </w:rPr>
        <w:t>نموذج الفوترة</w:t>
      </w:r>
    </w:p>
    <w:p>
      <w:pPr>
        <w:keepLines w:val="0"/>
        <w:bidi/>
        <w:jc w:val="right"/>
      </w:pPr>
      <w:r>
        <w:rPr>
          <w:rFonts w:ascii="DejaVu Sans" w:hAnsi="DejaVu Sans" w:cs="DejaVu Sans" w:eastAsia="DejaVu Sans"/>
          <w:b w:val="0"/>
          <w:i w:val="0"/>
          <w:lang w:val="ar-MA" w:eastAsia="ar-MA" w:bidi="ar-MA"/>
          <w:rtl/>
        </w:rPr>
        <w:t>يحتوي المخطط على عائلة فوترة حديثة واسعة، تشمل الحسابات وطرق الدفع والفواتير وبنودها والنوايا والمحاولات ورصيد/دفتر الائتمان وإشعارات الدائن والاستردادات والسجلات الضريبية وأحداث الفوترة، إلى جانب نماذج أقدم لفاتورة الاشتراك ومحاولة الدفع. يوحي ذلك بترحيل نشط. وينبغي للمستثمرين طلب بيان مطابقة يوضح مصدر الحقيقة في الإنتاج وحالة الترحيل وكيف ترتبط الإجماليات المالية بدفاتر المزودين.</w:t>
      </w:r>
    </w:p>
    <w:p>
      <w:pPr>
        <w:keepLines/>
        <w:spacing w:before="100" w:after="200"/>
        <w:ind w:left="173" w:right="115"/>
        <w:shd w:fill="E8EEF5"/>
        <w:pBdr>
          <w:left w:val="single" w:sz="20" w:space="8" w:color="2E74B5"/>
        </w:pBdr>
        <w:bidi/>
        <w:jc w:val="right"/>
      </w:pPr>
      <w:r>
        <w:rPr>
          <w:rFonts w:ascii="DejaVu Sans" w:hAnsi="DejaVu Sans" w:cs="DejaVu Sans" w:eastAsia="DejaVu Sans"/>
          <w:b/>
          <w:color w:val="2E74B5"/>
          <w:lang w:val="ar-MA" w:eastAsia="ar-MA" w:bidi="ar-MA"/>
          <w:rtl/>
        </w:rPr>
        <w:t xml:space="preserve">هدف الرقابة  </w:t>
      </w:r>
      <w:r>
        <w:rPr>
          <w:rFonts w:ascii="DejaVu Sans" w:hAnsi="DejaVu Sans" w:cs="DejaVu Sans" w:eastAsia="DejaVu Sans"/>
          <w:color w:val="101828"/>
          <w:lang w:val="ar-MA" w:eastAsia="ar-MA" w:bidi="ar-MA"/>
          <w:rtl/>
        </w:rPr>
        <w:t>ينبغي لكل عملية تحرك المال أن تملك أمراً داخلياً ثابتاً واحداً، ومفتاح عدم تكرار لدى المزود، وأثراً واحداً في الدفتر، وسجل مطابقة واحداً لخطاف الويب، ونتيجة قابلة للتدقيق. ويجب ألا تكون حالة الواجهة سجلاً محاسبياً أبداً.</w:t>
      </w:r>
    </w:p>
    <w:p>
      <w:pPr>
        <w:pStyle w:val="Heading1"/>
        <w:bidi/>
        <w:jc w:val="right"/>
      </w:pPr>
      <w:r>
        <w:rPr>
          <w:rFonts w:ascii="DejaVu Sans" w:hAnsi="DejaVu Sans" w:cs="DejaVu Sans" w:eastAsia="DejaVu Sans"/>
          <w:lang w:val="ar-MA" w:eastAsia="ar-MA" w:bidi="ar-MA"/>
          <w:rtl/>
        </w:rPr>
        <w:t>10. المدفوعات والتكاملات المالية</w:t>
      </w:r>
    </w:p>
    <w:p>
      <w:pPr>
        <w:pStyle w:val="Heading2"/>
        <w:bidi/>
        <w:jc w:val="right"/>
      </w:pPr>
      <w:r>
        <w:rPr>
          <w:rFonts w:ascii="DejaVu Sans" w:hAnsi="DejaVu Sans" w:cs="DejaVu Sans" w:eastAsia="DejaVu Sans"/>
          <w:lang w:val="ar-MA" w:eastAsia="ar-MA" w:bidi="ar-MA"/>
          <w:rtl/>
        </w:rPr>
        <w:t>تغطية المزودين</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500"/>
        <w:gridCol w:w="3830"/>
        <w:gridCol w:w="403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المزود</w:t>
            </w:r>
          </w:p>
        </w:tc>
        <w:tc>
          <w:tcPr>
            <w:tcW w:type="dxa" w:w="383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القدرات المنفذة</w:t>
            </w:r>
          </w:p>
        </w:tc>
        <w:tc>
          <w:tcPr>
            <w:tcW w:type="dxa" w:w="403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ملاحظة العناية الواجبة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‎Stripe‎</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الدفع والاستردادات وخطافات الويب الموقعة ومسار دفع الاشتراك</w:t>
            </w:r>
          </w:p>
        </w:tc>
        <w:tc>
          <w:tcPr>
            <w:tcW w:type="dxa" w:w="40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يقبل مخطط/خدمة دفع الاشتراك الحالي Stripe فقط.</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‎PayPal‎</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الطلب والتحصيل والاسترداد والتحقق من خطافات الويب</w:t>
            </w:r>
          </w:p>
        </w:tc>
        <w:tc>
          <w:tcPr>
            <w:tcW w:type="dxa" w:w="40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تحققوا من بيانات الاعتماد الحية وتغطية الأحداث والمطابقة ودعم العملة المحلية.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‎AmanPay‎</w:t>
            </w:r>
          </w:p>
        </w:tc>
        <w:tc>
          <w:tcPr>
            <w:tcW w:type="dxa" w:w="38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مسارات دفع واسترداد HMAC</w:t>
            </w:r>
          </w:p>
        </w:tc>
        <w:tc>
          <w:tcPr>
            <w:tcW w:type="dxa" w:w="40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يبدو تكاملاً إقليمياً؛ أكدوا عقد المزود الحالي واعتماد الإنتاج.</w:t>
            </w:r>
          </w:p>
        </w:tc>
      </w:tr>
    </w:tbl>
    <w:p>
      <w:pPr>
        <w:spacing w:after="20"/>
        <w:bidi/>
        <w:jc w:val="right"/>
      </w:pPr>
    </w:p>
    <w:p>
      <w:pPr>
        <w:pStyle w:val="Heading2"/>
        <w:bidi/>
        <w:jc w:val="right"/>
      </w:pPr>
      <w:r>
        <w:rPr>
          <w:rFonts w:ascii="DejaVu Sans" w:hAnsi="DejaVu Sans" w:cs="DejaVu Sans" w:eastAsia="DejaVu Sans"/>
          <w:lang w:val="ar-MA" w:eastAsia="ar-MA" w:bidi="ar-MA"/>
          <w:rtl/>
        </w:rPr>
        <w:t>تصميم خطافات الويب</w:t>
      </w:r>
    </w:p>
    <w:p>
      <w:pPr>
        <w:keepLines w:val="0"/>
        <w:bidi/>
        <w:jc w:val="right"/>
      </w:pPr>
      <w:r>
        <w:rPr>
          <w:rFonts w:ascii="DejaVu Sans" w:hAnsi="DejaVu Sans" w:cs="DejaVu Sans" w:eastAsia="DejaVu Sans"/>
          <w:b w:val="0"/>
          <w:i w:val="0"/>
          <w:lang w:val="ar-MA" w:eastAsia="ar-MA" w:bidi="ar-MA"/>
          <w:rtl/>
        </w:rPr>
        <w:t>يتلقى معالجو خطافات الويب الأجسام الخام قبل تحليل JSON، ويتحققون من توقيعات المزودين، ويسجلون بيانات WebhookEvent مع تجزئات الحمولة وحالات المعالجة. ويمكن تحديد الأحداث المكررة وإعادة محاولة سجلات PROCESSING العالقة بعد عشر دقائق. وهذه قاعدة سليمة لتسليم المزود مرة واحدة على الأقل.</w:t>
      </w:r>
    </w:p>
    <w:p>
      <w:pPr>
        <w:keepLines/>
        <w:numPr>
          <w:ilvl w:val="0"/>
          <w:numId w:val="10"/>
        </w:numPr>
        <w:spacing w:after="160" w:line="280" w:lineRule="auto"/>
        <w:bidi/>
        <w:jc w:val="right"/>
      </w:pPr>
      <w:r>
        <w:rPr>
          <w:rFonts w:ascii="DejaVu Sans" w:hAnsi="DejaVu Sans" w:cs="DejaVu Sans" w:eastAsia="DejaVu Sans"/>
          <w:lang w:val="ar-MA" w:eastAsia="ar-MA" w:bidi="ar-MA"/>
          <w:rtl/>
        </w:rPr>
        <w:t>نقطة قوة: يقلل التحقق من التوقيع وترتيب الجسم الخام مخاطر الانتحال وعدم تطابق المحلل.</w:t>
      </w:r>
    </w:p>
    <w:p>
      <w:pPr>
        <w:keepLines/>
        <w:numPr>
          <w:ilvl w:val="0"/>
          <w:numId w:val="10"/>
        </w:numPr>
        <w:spacing w:after="160" w:line="280" w:lineRule="auto"/>
        <w:bidi/>
        <w:jc w:val="right"/>
      </w:pPr>
      <w:r>
        <w:rPr>
          <w:rFonts w:ascii="DejaVu Sans" w:hAnsi="DejaVu Sans" w:cs="DejaVu Sans" w:eastAsia="DejaVu Sans"/>
          <w:lang w:val="ar-MA" w:eastAsia="ar-MA" w:bidi="ar-MA"/>
          <w:rtl/>
        </w:rPr>
        <w:t>نقطة قوة: تدعم سجلات الأحداث المدعومة بقاعدة البيانات وتجزئات الحمولة عدم التكرار والمراجعة الجنائية الرقمية.</w:t>
      </w:r>
    </w:p>
    <w:p>
      <w:pPr>
        <w:keepLines/>
        <w:numPr>
          <w:ilvl w:val="0"/>
          <w:numId w:val="10"/>
        </w:numPr>
        <w:spacing w:after="160" w:line="280" w:lineRule="auto"/>
        <w:bidi/>
        <w:jc w:val="right"/>
      </w:pPr>
      <w:r>
        <w:rPr>
          <w:rFonts w:ascii="DejaVu Sans" w:hAnsi="DejaVu Sans" w:cs="DejaVu Sans" w:eastAsia="DejaVu Sans"/>
          <w:lang w:val="ar-MA" w:eastAsia="ar-MA" w:bidi="ar-MA"/>
          <w:rtl/>
        </w:rPr>
        <w:t>خطر: يجب إقران إعادة المحاولة بعد عشر دقائق بأوامر مالية لاحقة غير مكررة؛ وإلا فقد يكرر معالج متعطل الآثار الجانبية.</w:t>
      </w:r>
    </w:p>
    <w:p>
      <w:pPr>
        <w:keepLines/>
        <w:numPr>
          <w:ilvl w:val="0"/>
          <w:numId w:val="10"/>
        </w:numPr>
        <w:spacing w:after="160" w:line="280" w:lineRule="auto"/>
        <w:bidi/>
        <w:jc w:val="right"/>
      </w:pPr>
      <w:r>
        <w:rPr>
          <w:rFonts w:ascii="DejaVu Sans" w:hAnsi="DejaVu Sans" w:cs="DejaVu Sans" w:eastAsia="DejaVu Sans"/>
          <w:lang w:val="ar-MA" w:eastAsia="ar-MA" w:bidi="ar-MA"/>
          <w:rtl/>
        </w:rPr>
        <w:t>خطر: لم تُثبت المقاييس التشغيلية أو معالجة الرسائل الميتة؛ ويحتاج خطاف ويب يفشل دائماً إلى تنبيه وإعادة تشغيل وأدوات للمشغل.</w:t>
      </w:r>
    </w:p>
    <w:p>
      <w:pPr>
        <w:pStyle w:val="Heading2"/>
        <w:bidi/>
        <w:jc w:val="right"/>
      </w:pPr>
      <w:r>
        <w:rPr>
          <w:rFonts w:ascii="DejaVu Sans" w:hAnsi="DejaVu Sans" w:cs="DejaVu Sans" w:eastAsia="DejaVu Sans"/>
          <w:lang w:val="ar-MA" w:eastAsia="ar-MA" w:bidi="ar-MA"/>
          <w:rtl/>
        </w:rPr>
        <w:t>قائمة تحقق الضمان المالي</w:t>
      </w:r>
    </w:p>
    <w:p>
      <w:pPr>
        <w:keepLines/>
        <w:numPr>
          <w:ilvl w:val="0"/>
          <w:numId w:val="10"/>
        </w:numPr>
        <w:spacing w:after="160" w:line="280" w:lineRule="auto"/>
        <w:bidi/>
        <w:jc w:val="right"/>
      </w:pPr>
      <w:r>
        <w:rPr>
          <w:rFonts w:ascii="DejaVu Sans" w:hAnsi="DejaVu Sans" w:cs="DejaVu Sans" w:eastAsia="DejaVu Sans"/>
          <w:lang w:val="ar-MA" w:eastAsia="ar-MA" w:bidi="ar-MA"/>
          <w:rtl/>
        </w:rPr>
        <w:t>مطابقة يومية بين المزود والداخل حسب العملة والحالة والرسوم والاسترداد ودفعة التسوية.</w:t>
      </w:r>
    </w:p>
    <w:p>
      <w:pPr>
        <w:keepLines/>
        <w:numPr>
          <w:ilvl w:val="0"/>
          <w:numId w:val="10"/>
        </w:numPr>
        <w:spacing w:after="160" w:line="280" w:lineRule="auto"/>
        <w:bidi/>
        <w:jc w:val="right"/>
      </w:pPr>
      <w:r>
        <w:rPr>
          <w:rFonts w:ascii="DejaVu Sans" w:hAnsi="DejaVu Sans" w:cs="DejaVu Sans" w:eastAsia="DejaVu Sans"/>
          <w:lang w:val="ar-MA" w:eastAsia="ar-MA" w:bidi="ar-MA"/>
          <w:rtl/>
        </w:rPr>
        <w:t>مسار تدقيق ثابت للدفع والتحصيل والفشل والاسترداد وإشعار الدائن والتعديل اليدوي.</w:t>
      </w:r>
    </w:p>
    <w:p>
      <w:pPr>
        <w:keepLines/>
        <w:numPr>
          <w:ilvl w:val="0"/>
          <w:numId w:val="10"/>
        </w:numPr>
        <w:spacing w:after="160" w:line="280" w:lineRule="auto"/>
        <w:bidi/>
        <w:jc w:val="right"/>
      </w:pPr>
      <w:r>
        <w:rPr>
          <w:rFonts w:ascii="DejaVu Sans" w:hAnsi="DejaVu Sans" w:cs="DejaVu Sans" w:eastAsia="DejaVu Sans"/>
          <w:lang w:val="ar-MA" w:eastAsia="ar-MA" w:bidi="ar-MA"/>
          <w:rtl/>
        </w:rPr>
        <w:t>لا تخزين لبيانات البطاقة الكاملة؛ طرق مستضافة/مرمّزة لدى المزود فقط، مع توثيق نطاق PCI.</w:t>
      </w:r>
    </w:p>
    <w:p>
      <w:pPr>
        <w:keepLines/>
        <w:numPr>
          <w:ilvl w:val="0"/>
          <w:numId w:val="10"/>
        </w:numPr>
        <w:spacing w:after="160" w:line="280" w:lineRule="auto"/>
        <w:bidi/>
        <w:jc w:val="right"/>
      </w:pPr>
      <w:r>
        <w:rPr>
          <w:rFonts w:ascii="DejaVu Sans" w:hAnsi="DejaVu Sans" w:cs="DejaVu Sans" w:eastAsia="DejaVu Sans"/>
          <w:lang w:val="ar-MA" w:eastAsia="ar-MA" w:bidi="ar-MA"/>
          <w:rtl/>
        </w:rPr>
        <w:t>قواعد رسمية للتقريب والضرائب والصرف والأرصدة السالبة تغطيها اختبارات الخصائص والعقود.</w:t>
      </w:r>
    </w:p>
    <w:p>
      <w:pPr>
        <w:keepLines/>
        <w:numPr>
          <w:ilvl w:val="0"/>
          <w:numId w:val="10"/>
        </w:numPr>
        <w:spacing w:after="160" w:line="280" w:lineRule="auto"/>
        <w:bidi/>
        <w:jc w:val="right"/>
      </w:pPr>
      <w:r>
        <w:rPr>
          <w:rFonts w:ascii="DejaVu Sans" w:hAnsi="DejaVu Sans" w:cs="DejaVu Sans" w:eastAsia="DejaVu Sans"/>
          <w:lang w:val="ar-MA" w:eastAsia="ar-MA" w:bidi="ar-MA"/>
          <w:rtl/>
        </w:rPr>
        <w:t>فصل الأدوار ومصادقة ثنائية حديثة للاستردادات والأرصدة وتغييرات الأسعار والإدارة الحساسة للدفعات.</w:t>
      </w:r>
    </w:p>
    <w:p>
      <w:pPr>
        <w:keepLines/>
        <w:numPr>
          <w:ilvl w:val="0"/>
          <w:numId w:val="10"/>
        </w:numPr>
        <w:spacing w:after="160" w:line="280" w:lineRule="auto"/>
        <w:bidi/>
        <w:jc w:val="right"/>
      </w:pPr>
      <w:r>
        <w:rPr>
          <w:rFonts w:ascii="DejaVu Sans" w:hAnsi="DejaVu Sans" w:cs="DejaVu Sans" w:eastAsia="DejaVu Sans"/>
          <w:lang w:val="ar-MA" w:eastAsia="ar-MA" w:bidi="ar-MA"/>
          <w:rtl/>
        </w:rPr>
        <w:t>أدلة تشغيل لخطافات الويب المتأخرة وانقطاع المزود والتحصيل/الاسترداد الجزئي والأحداث المكررة وانقطاع المطابقة.</w:t>
      </w:r>
    </w:p>
    <w:p>
      <w:pPr>
        <w:pStyle w:val="Heading1"/>
        <w:bidi/>
        <w:jc w:val="right"/>
      </w:pPr>
      <w:r>
        <w:rPr>
          <w:rFonts w:ascii="DejaVu Sans" w:hAnsi="DejaVu Sans" w:cs="DejaVu Sans" w:eastAsia="DejaVu Sans"/>
          <w:lang w:val="ar-MA" w:eastAsia="ar-MA" w:bidi="ar-MA"/>
          <w:rtl/>
        </w:rPr>
        <w:t>11. الإشعارات والعمل الفوري والمجدول</w:t>
      </w:r>
    </w:p>
    <w:p>
      <w:pPr>
        <w:pStyle w:val="Heading2"/>
        <w:bidi/>
        <w:jc w:val="right"/>
      </w:pPr>
      <w:r>
        <w:rPr>
          <w:rFonts w:ascii="DejaVu Sans" w:hAnsi="DejaVu Sans" w:cs="DejaVu Sans" w:eastAsia="DejaVu Sans"/>
          <w:lang w:val="ar-MA" w:eastAsia="ar-MA" w:bidi="ar-MA"/>
          <w:rtl/>
        </w:rPr>
        <w:t>تصميم الإشعارات الدائم</w:t>
      </w:r>
    </w:p>
    <w:p>
      <w:pPr>
        <w:keepLines w:val="0"/>
        <w:bidi/>
        <w:jc w:val="right"/>
      </w:pPr>
      <w:r>
        <w:rPr>
          <w:rFonts w:ascii="DejaVu Sans" w:hAnsi="DejaVu Sans" w:cs="DejaVu Sans" w:eastAsia="DejaVu Sans"/>
          <w:b w:val="0"/>
          <w:i w:val="0"/>
          <w:lang w:val="ar-MA" w:eastAsia="ar-MA" w:bidi="ar-MA"/>
          <w:rtl/>
        </w:rPr>
        <w:t>تصميم الإشعارات الأحدث قوي هيكلياً: يسجل NotificationEvent النية؛ ويستهدف NotificationRecipient المستخدمين؛ ويتتبع NotificationDelivery تسليم القنوات؛ ويمثل NotificationOutbox عمل الإرسال؛ وتتحكم القوالب والتفضيلات في المحتوى والاشتراك. وتكتب خدمة الإنشاء سجلات الحدث والتسليم وصندوق الصادر في معاملة واحدة.</w:t>
      </w:r>
    </w:p>
    <w:p>
      <w:pPr>
        <w:keepLines/>
        <w:spacing w:before="100" w:after="200"/>
        <w:ind w:left="173" w:right="115"/>
        <w:shd w:fill="FDECEC"/>
        <w:pBdr>
          <w:left w:val="single" w:sz="20" w:space="8" w:color="9B1C1C"/>
        </w:pBdr>
        <w:bidi/>
        <w:jc w:val="right"/>
      </w:pPr>
      <w:r>
        <w:rPr>
          <w:rFonts w:ascii="DejaVu Sans" w:hAnsi="DejaVu Sans" w:cs="DejaVu Sans" w:eastAsia="DejaVu Sans"/>
          <w:b/>
          <w:color w:val="9B1C1C"/>
          <w:lang w:val="ar-MA" w:eastAsia="ar-MA" w:bidi="ar-MA"/>
          <w:rtl/>
        </w:rPr>
        <w:t xml:space="preserve">فجوة إكمال حرجة  </w:t>
      </w:r>
      <w:r>
        <w:rPr>
          <w:rFonts w:ascii="DejaVu Sans" w:hAnsi="DejaVu Sans" w:cs="DejaVu Sans" w:eastAsia="DejaVu Sans"/>
          <w:color w:val="101828"/>
          <w:lang w:val="ar-MA" w:eastAsia="ar-MA" w:bidi="ar-MA"/>
          <w:rtl/>
        </w:rPr>
        <w:t>لم يُعثر على عامل أو موزع يستهلك سجلات NotificationOutbox ويدفع تسليم المزود إلى الأمام. يمكن لقاعدة البيانات تسجيل ضرورة إرسال إشعار بينما لا يحدث التسليم عبر البريد أو المزود أو الوقت الحقيقي أبداً.</w:t>
      </w:r>
    </w:p>
    <w:p>
      <w:pPr>
        <w:pStyle w:val="Heading2"/>
        <w:bidi/>
        <w:jc w:val="right"/>
      </w:pPr>
      <w:r>
        <w:rPr>
          <w:rFonts w:ascii="DejaVu Sans" w:hAnsi="DejaVu Sans" w:cs="DejaVu Sans" w:eastAsia="DejaVu Sans"/>
          <w:lang w:val="ar-MA" w:eastAsia="ar-MA" w:bidi="ar-MA"/>
          <w:rtl/>
        </w:rPr>
        <w:t>سلوك القنوات الحالي</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500"/>
        <w:gridCol w:w="4400"/>
        <w:gridCol w:w="346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القناة</w:t>
            </w:r>
          </w:p>
        </w:tc>
        <w:tc>
          <w:tcPr>
            <w:tcW w:type="dxa" w:w="44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التنفيذ المرصود</w:t>
            </w:r>
          </w:p>
        </w:tc>
        <w:tc>
          <w:tcPr>
            <w:tcW w:type="dxa" w:w="34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الجاهزية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داخل التطبيق</w:t>
            </w:r>
          </w:p>
        </w:tc>
        <w:tc>
          <w:tcPr>
            <w:tcW w:type="dxa" w:w="44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تُستعلم سجلات الإشعارات عبر API؛ حالة مقروء/غير مقروء</w:t>
            </w:r>
          </w:p>
        </w:tc>
        <w:tc>
          <w:tcPr>
            <w:tcW w:type="dxa" w:w="3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أساس وظيفي</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الوقت الحقيقي</w:t>
            </w:r>
          </w:p>
        </w:tc>
        <w:tc>
          <w:tcPr>
            <w:tcW w:type="dxa" w:w="44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غرف Socket.IO user:&lt;id&gt;؛ اشتراك نمط Redis notifications:*</w:t>
            </w:r>
          </w:p>
        </w:tc>
        <w:tc>
          <w:tcPr>
            <w:tcW w:type="dxa" w:w="3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المشترك موجود؛ لم يُعثر على مسار النشر من صندوق الصادر</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البريد الإلكتروني</w:t>
            </w:r>
          </w:p>
        </w:tc>
        <w:tc>
          <w:tcPr>
            <w:tcW w:type="dxa" w:w="44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Resend أساسي مع رجوع إلى SMTP في المساعد المعاملاتي المباشر</w:t>
            </w:r>
          </w:p>
        </w:tc>
        <w:tc>
          <w:tcPr>
            <w:tcW w:type="dxa" w:w="3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المسار المباشر موجود؛ تكامل صندوق الصادر غير مكتمل</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SMS / المراسلة</w:t>
            </w:r>
          </w:p>
        </w:tc>
        <w:tc>
          <w:tcPr>
            <w:tcW w:type="dxa" w:w="44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تظهر اعتماديات Twilio وFirebase في بيانات الحزم</w:t>
            </w:r>
          </w:p>
        </w:tc>
        <w:tc>
          <w:tcPr>
            <w:tcW w:type="dxa" w:w="3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لا يوجد مسار تسليم إنتاجي مراجع؛ لا تدّعوه</w:t>
            </w:r>
          </w:p>
        </w:tc>
      </w:tr>
    </w:tbl>
    <w:p>
      <w:pPr>
        <w:spacing w:after="20"/>
        <w:bidi/>
        <w:jc w:val="right"/>
      </w:pPr>
    </w:p>
    <w:p>
      <w:pPr>
        <w:pStyle w:val="Heading2"/>
        <w:bidi/>
        <w:jc w:val="right"/>
      </w:pPr>
      <w:r>
        <w:rPr>
          <w:rFonts w:ascii="DejaVu Sans" w:hAnsi="DejaVu Sans" w:cs="DejaVu Sans" w:eastAsia="DejaVu Sans"/>
          <w:lang w:val="ar-MA" w:eastAsia="ar-MA" w:bidi="ar-MA"/>
          <w:rtl/>
        </w:rPr>
        <w:t>نموذج الوقت الحقيقي</w:t>
      </w:r>
    </w:p>
    <w:p>
      <w:pPr>
        <w:keepLines w:val="0"/>
        <w:bidi/>
        <w:jc w:val="right"/>
      </w:pPr>
      <w:r>
        <w:rPr>
          <w:rFonts w:ascii="DejaVu Sans" w:hAnsi="DejaVu Sans" w:cs="DejaVu Sans" w:eastAsia="DejaVu Sans"/>
          <w:b w:val="0"/>
          <w:i w:val="0"/>
          <w:lang w:val="ar-MA" w:eastAsia="ar-MA" w:bidi="ar-MA"/>
          <w:rtl/>
        </w:rPr>
        <w:t>يقبل Socket.IO رمزاً من ملف تعريف الارتباط أو مصادقة المصافحة. تنضم الاتصالات المصادق عليها إلى غرف خاصة بالمستخدم. ويمكن للاتصالات غير المصادق عليها إنشاء مقبس لكنها لا تنضم إلى غرف ذات امتياز. تشترك API في أنماط إشعارات Redis وتبث إلى غرف المستخدمين المطابقة. لذلك فإن حد التفويض هو إسناد الغرف، وينبغي اختباره وقياسه باستمرار.</w:t>
      </w:r>
    </w:p>
    <w:p>
      <w:pPr>
        <w:pStyle w:val="Heading2"/>
        <w:bidi/>
        <w:jc w:val="right"/>
      </w:pPr>
      <w:r>
        <w:rPr>
          <w:rFonts w:ascii="DejaVu Sans" w:hAnsi="DejaVu Sans" w:cs="DejaVu Sans" w:eastAsia="DejaVu Sans"/>
          <w:lang w:val="ar-MA" w:eastAsia="ar-MA" w:bidi="ar-MA"/>
          <w:rtl/>
        </w:rPr>
        <w:t>العمل المجدول</w:t>
      </w:r>
    </w:p>
    <w:p>
      <w:pPr>
        <w:keepLines w:val="0"/>
        <w:bidi/>
        <w:jc w:val="right"/>
      </w:pPr>
      <w:r>
        <w:rPr>
          <w:rFonts w:ascii="DejaVu Sans" w:hAnsi="DejaVu Sans" w:cs="DejaVu Sans" w:eastAsia="DejaVu Sans"/>
          <w:b w:val="0"/>
          <w:i w:val="0"/>
          <w:lang w:val="ar-MA" w:eastAsia="ar-MA" w:bidi="ar-MA"/>
          <w:rtl/>
        </w:rPr>
        <w:t>تعمل جداول node-cron داخل عملية API لانتهاء الرخص يومياً وتغييرات حالة الاشتراك كل ساعة وتذكيرات التجربة وأعمال الصيانة اليومية. وهذا مقبول لعملية واحدة في التطوير، لكنه غير آمن كاستراتيجية تنسيق إنتاجية لأن كل نسخة تبدأ المؤقتات نفسها.</w:t>
      </w:r>
    </w:p>
    <w:p>
      <w:pPr>
        <w:keepLines/>
        <w:numPr>
          <w:ilvl w:val="0"/>
          <w:numId w:val="10"/>
        </w:numPr>
        <w:spacing w:after="160" w:line="280" w:lineRule="auto"/>
        <w:bidi/>
        <w:jc w:val="right"/>
      </w:pPr>
      <w:r>
        <w:rPr>
          <w:rFonts w:ascii="DejaVu Sans" w:hAnsi="DejaVu Sans" w:cs="DejaVu Sans" w:eastAsia="DejaVu Sans"/>
          <w:lang w:val="ar-MA" w:eastAsia="ar-MA" w:bidi="ar-MA"/>
          <w:rtl/>
        </w:rPr>
        <w:t>انقلوا الأوامر المجدولة إلى طابور دائم أو عامل واحد مجدول خارجياً.</w:t>
      </w:r>
    </w:p>
    <w:p>
      <w:pPr>
        <w:keepLines/>
        <w:numPr>
          <w:ilvl w:val="0"/>
          <w:numId w:val="10"/>
        </w:numPr>
        <w:spacing w:after="160" w:line="280" w:lineRule="auto"/>
        <w:bidi/>
        <w:jc w:val="right"/>
      </w:pPr>
      <w:r>
        <w:rPr>
          <w:rFonts w:ascii="DejaVu Sans" w:hAnsi="DejaVu Sans" w:cs="DejaVu Sans" w:eastAsia="DejaVu Sans"/>
          <w:lang w:val="ar-MA" w:eastAsia="ar-MA" w:bidi="ar-MA"/>
          <w:rtl/>
        </w:rPr>
        <w:t>امنحوا كل مهمة مفتاح عدم تكرار حتمياً وانتقال حالة تتحقق منه قاعدة البيانات.</w:t>
      </w:r>
    </w:p>
    <w:p>
      <w:pPr>
        <w:keepLines/>
        <w:numPr>
          <w:ilvl w:val="0"/>
          <w:numId w:val="10"/>
        </w:numPr>
        <w:spacing w:after="160" w:line="280" w:lineRule="auto"/>
        <w:bidi/>
        <w:jc w:val="right"/>
      </w:pPr>
      <w:r>
        <w:rPr>
          <w:rFonts w:ascii="DejaVu Sans" w:hAnsi="DejaVu Sans" w:cs="DejaVu Sans" w:eastAsia="DejaVu Sans"/>
          <w:lang w:val="ar-MA" w:eastAsia="ar-MA" w:bidi="ar-MA"/>
          <w:rtl/>
        </w:rPr>
        <w:t>سجلوا المحاولات والمدة والنتيجة وعدد الإعادات وسبب الرسالة الميتة؛ واكشفوا مقاييس التأخر والفشل.</w:t>
      </w:r>
    </w:p>
    <w:p>
      <w:pPr>
        <w:keepLines/>
        <w:numPr>
          <w:ilvl w:val="0"/>
          <w:numId w:val="10"/>
        </w:numPr>
        <w:spacing w:after="160" w:line="280" w:lineRule="auto"/>
        <w:bidi/>
        <w:jc w:val="right"/>
      </w:pPr>
      <w:r>
        <w:rPr>
          <w:rFonts w:ascii="DejaVu Sans" w:hAnsi="DejaVu Sans" w:cs="DejaVu Sans" w:eastAsia="DejaVu Sans"/>
          <w:lang w:val="ar-MA" w:eastAsia="ar-MA" w:bidi="ar-MA"/>
          <w:rtl/>
        </w:rPr>
        <w:t>افصلوا عمال التسليم عن زمن استجابة طلبات API ووسعوا عددهم وفق عمق الطابور.</w:t>
      </w:r>
    </w:p>
    <w:p>
      <w:pPr>
        <w:pStyle w:val="Heading1"/>
        <w:bidi/>
        <w:jc w:val="right"/>
      </w:pPr>
      <w:r>
        <w:rPr>
          <w:rFonts w:ascii="DejaVu Sans" w:hAnsi="DejaVu Sans" w:cs="DejaVu Sans" w:eastAsia="DejaVu Sans"/>
          <w:lang w:val="ar-MA" w:eastAsia="ar-MA" w:bidi="ar-MA"/>
          <w:rtl/>
        </w:rPr>
        <w:t>12. الأمن والخصوصية</w:t>
      </w:r>
    </w:p>
    <w:p>
      <w:pPr>
        <w:pStyle w:val="Heading2"/>
        <w:bidi/>
        <w:jc w:val="right"/>
      </w:pPr>
      <w:r>
        <w:rPr>
          <w:rFonts w:ascii="DejaVu Sans" w:hAnsi="DejaVu Sans" w:cs="DejaVu Sans" w:eastAsia="DejaVu Sans"/>
          <w:lang w:val="ar-MA" w:eastAsia="ar-MA" w:bidi="ar-MA"/>
          <w:rtl/>
        </w:rPr>
        <w:t>الضوابط الأمنية المثبتة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700"/>
        <w:gridCol w:w="766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الطبقة</w:t>
            </w:r>
          </w:p>
        </w:tc>
        <w:tc>
          <w:tcPr>
            <w:tcW w:type="dxa" w:w="76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الضوابط المرصودة</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محيط الطلب</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تنظيف الترويسات المعاد توجيهها ومعرفات الطلب ورفض x-middleware-subrequest وCORS وفحوص أصل CSRF وHelmet/CSP وتحديد المعدل.</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الهوية</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مصدر/جمهور JWT والسر المطلوب وملفات HttpOnly/Secure وbcrypt بكلفة 12 و2FA ورموز الاسترداد ورموز API/العامة/البريد المجزأة.</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التفويض</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برمجية وسيطة خاصة بالفاعل وإعادة تحميل المستأجر وقوائم سماح أدوار الإدارة وفحوص رتبة الموظف وبوابات وصول الاشتراك.</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المدخلات/البيانات</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تحقق Zod وأخطاء مركزية ومستودعات Prisma وشروط المستأجر وخدمات معاملاتية.</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الملفات</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فصل عام/خاص ودفاع ضد اجتياز المسارات والتحقق من الحجم/النوع/البايت السحري/أبعاد الصورة ومتطلبات جذر الإنتاج.</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المدفوعات</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أجسام خطافات خام وتوقيعات/HMAC المزود وتخزين الأحداث وتجزئة الحمولة ومعالجة التكرار/التقادم.</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التوثيق</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Swagger معطل في الإنتاج ما لم يُفعّل صراحة.</w:t>
            </w:r>
          </w:p>
        </w:tc>
      </w:tr>
    </w:tbl>
    <w:p>
      <w:pPr>
        <w:spacing w:after="20"/>
        <w:bidi/>
        <w:jc w:val="right"/>
      </w:pPr>
    </w:p>
    <w:p>
      <w:pPr>
        <w:pStyle w:val="Heading2"/>
        <w:bidi/>
        <w:jc w:val="right"/>
      </w:pPr>
      <w:r>
        <w:rPr>
          <w:rFonts w:ascii="DejaVu Sans" w:hAnsi="DejaVu Sans" w:cs="DejaVu Sans" w:eastAsia="DejaVu Sans"/>
          <w:lang w:val="ar-MA" w:eastAsia="ar-MA" w:bidi="ar-MA"/>
          <w:rtl/>
        </w:rPr>
        <w:t>وضع الاعتماديات</w:t>
      </w:r>
    </w:p>
    <w:p>
      <w:pPr>
        <w:keepLines w:val="0"/>
        <w:bidi/>
        <w:jc w:val="right"/>
      </w:pPr>
      <w:r>
        <w:rPr>
          <w:rFonts w:ascii="DejaVu Sans" w:hAnsi="DejaVu Sans" w:cs="DejaVu Sans" w:eastAsia="DejaVu Sans"/>
          <w:b w:val="0"/>
          <w:i w:val="0"/>
          <w:lang w:val="ar-MA" w:eastAsia="ar-MA" w:bidi="ar-MA"/>
          <w:rtl/>
        </w:rPr>
        <w:t>أظهر تدقيق اعتماديات الإنتاج في 9 أغسطس 2026 وجود 530 حزمة إنتاج و21 ثغرة معروفة: 1 حرجة و14 عالية و5 متوسطة و1 منخفضة. وشملت عائلات الحزم الضعيفة مباشرة firebase-admin وmorgan وNext.js وpostcss وsharp؛ وكان مسار protobufjs الحرج انتقالياً عبر firebase-admin. ستتغير قائمة التنبيهات الدقيقة مع الوقت، لكن النتيجة الحالية تمنع الإصدار حتى الفرز والمعالجة.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700"/>
        <w:gridCol w:w="900"/>
        <w:gridCol w:w="676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الشدة</w:t>
            </w:r>
          </w:p>
        </w:tc>
        <w:tc>
          <w:tcPr>
            <w:tcW w:type="dxa" w:w="9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العدد</w:t>
            </w:r>
          </w:p>
        </w:tc>
        <w:tc>
          <w:tcPr>
            <w:tcW w:type="dxa" w:w="67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المعالجة المطلوبة</w:t>
            </w:r>
          </w:p>
        </w:tc>
      </w:tr>
      <w:tr>
        <w:trPr>
          <w:cantSplit/>
        </w:trPr>
        <w:tc>
          <w:tcPr>
            <w:tcW w:type="dxa" w:w="17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حرج</w:t>
            </w:r>
          </w:p>
        </w:tc>
        <w:tc>
          <w:tcPr>
            <w:tcW w:type="dxa" w:w="9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w:t>
            </w:r>
          </w:p>
        </w:tc>
        <w:tc>
          <w:tcPr>
            <w:tcW w:type="dxa" w:w="676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أزيلوا/رقوا الاعتمادية المتأثرة وتحققوا من قابلية الاستغلال قبل أي إصدار إنتاجي.</w:t>
            </w:r>
          </w:p>
        </w:tc>
      </w:tr>
      <w:tr>
        <w:trPr>
          <w:cantSplit/>
        </w:trPr>
        <w:tc>
          <w:tcPr>
            <w:tcW w:type="dxa" w:w="17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عالٍ</w:t>
            </w:r>
          </w:p>
        </w:tc>
        <w:tc>
          <w:tcPr>
            <w:tcW w:type="dxa" w:w="9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‎14‎</w:t>
            </w:r>
          </w:p>
        </w:tc>
        <w:tc>
          <w:tcPr>
            <w:tcW w:type="dxa" w:w="676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رقعوا أو وثقوا ضابطاً تعويضياً مع قبول للمخاطر وتاريخ انتهاء.</w:t>
            </w:r>
          </w:p>
        </w:tc>
      </w:tr>
      <w:tr>
        <w:trPr>
          <w:cantSplit/>
        </w:trPr>
        <w:tc>
          <w:tcPr>
            <w:tcW w:type="dxa" w:w="17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متوسط</w:t>
            </w:r>
          </w:p>
        </w:tc>
        <w:tc>
          <w:tcPr>
            <w:tcW w:type="dxa" w:w="9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‎5‎</w:t>
            </w:r>
          </w:p>
        </w:tc>
        <w:tc>
          <w:tcPr>
            <w:tcW w:type="dxa" w:w="676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رقعوا في دورة التحصين؛ وقللوا مساحة الاعتماديات غير المستخدمة.</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منخفض</w:t>
            </w:r>
          </w:p>
        </w:tc>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w:t>
            </w:r>
          </w:p>
        </w:tc>
        <w:tc>
          <w:tcPr>
            <w:tcW w:type="dxa" w:w="6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تتبعوا وحدّثوا ضمن صيانة الاعتماديات الروتينية.</w:t>
            </w:r>
          </w:p>
        </w:tc>
      </w:tr>
    </w:tbl>
    <w:p>
      <w:pPr>
        <w:spacing w:after="20"/>
        <w:bidi/>
        <w:jc w:val="right"/>
      </w:pPr>
    </w:p>
    <w:p>
      <w:pPr>
        <w:pStyle w:val="Heading2"/>
        <w:bidi/>
        <w:jc w:val="right"/>
      </w:pPr>
      <w:r>
        <w:rPr>
          <w:rFonts w:ascii="DejaVu Sans" w:hAnsi="DejaVu Sans" w:cs="DejaVu Sans" w:eastAsia="DejaVu Sans"/>
          <w:lang w:val="ar-MA" w:eastAsia="ar-MA" w:bidi="ar-MA"/>
          <w:rtl/>
        </w:rPr>
        <w:t>التعرض للبيانات الشخصية</w:t>
      </w:r>
    </w:p>
    <w:p>
      <w:pPr>
        <w:keepLines w:val="0"/>
        <w:bidi/>
        <w:jc w:val="right"/>
      </w:pPr>
      <w:r>
        <w:rPr>
          <w:rFonts w:ascii="DejaVu Sans" w:hAnsi="DejaVu Sans" w:cs="DejaVu Sans" w:eastAsia="DejaVu Sans"/>
          <w:b w:val="0"/>
          <w:i w:val="0"/>
          <w:lang w:val="ar-MA" w:eastAsia="ar-MA" w:bidi="ar-MA"/>
          <w:rtl/>
        </w:rPr>
        <w:t>يمكن للمجال تخزين أدلة هوية وتشغيل تشمل الأسماء وبيانات الاتصال وتاريخ الميلاد والجنسية والعناوين وبيانات/صور رخص القيادة وتفاصيل السائقين الإضافيين والعقود وصور الحجز والتأمين وفحوص الأضرار والشكاوى. ولا تثبت الحزمة المراجعة تشفيراً على مستوى الحقول، أو مفاتيح تديرها KMS، أو أتمتة رسمية للاحتفاظ/الحذف، أو تدفقات طلبات أصحاب البيانات، أو سجلات للأساس القانوني، أو جرد المعالجين، أو خطط استجابة للاختراق.</w:t>
      </w:r>
    </w:p>
    <w:p>
      <w:pPr>
        <w:pStyle w:val="Heading2"/>
        <w:bidi/>
        <w:jc w:val="right"/>
      </w:pPr>
      <w:r>
        <w:rPr>
          <w:rFonts w:ascii="DejaVu Sans" w:hAnsi="DejaVu Sans" w:cs="DejaVu Sans" w:eastAsia="DejaVu Sans"/>
          <w:lang w:val="ar-MA" w:eastAsia="ar-MA" w:bidi="ar-MA"/>
          <w:rtl/>
        </w:rPr>
        <w:t>الأولويات الأمنية</w:t>
      </w:r>
    </w:p>
    <w:p>
      <w:pPr>
        <w:keepLines/>
        <w:numPr>
          <w:ilvl w:val="0"/>
          <w:numId w:val="10"/>
        </w:numPr>
        <w:spacing w:after="160" w:line="280" w:lineRule="auto"/>
        <w:bidi/>
        <w:jc w:val="right"/>
      </w:pPr>
      <w:r>
        <w:rPr>
          <w:rFonts w:ascii="DejaVu Sans" w:hAnsi="DejaVu Sans" w:cs="DejaVu Sans" w:eastAsia="DejaVu Sans"/>
          <w:b/>
          <w:color w:val="0B2545"/>
          <w:lang w:val="ar-MA" w:eastAsia="ar-MA" w:bidi="ar-MA"/>
          <w:rtl/>
        </w:rPr>
        <w:t>إزالة التعرض:</w:t>
      </w:r>
      <w:r>
        <w:rPr>
          <w:rFonts w:ascii="DejaVu Sans" w:hAnsi="DejaVu Sans" w:cs="DejaVu Sans" w:eastAsia="DejaVu Sans"/>
          <w:lang w:val="ar-MA" w:eastAsia="ar-MA" w:bidi="ar-MA"/>
          <w:rtl/>
        </w:rPr>
        <w:t xml:space="preserve"> رقعوا الاعتماديات الضعيفة وغير المستخدمة؛ وأزيلوا آثار .env/build المضمنة؛ ودوّروا أي أسرار ربما دخلت الأرشيفات.</w:t>
      </w:r>
    </w:p>
    <w:p>
      <w:pPr>
        <w:keepLines/>
        <w:numPr>
          <w:ilvl w:val="0"/>
          <w:numId w:val="10"/>
        </w:numPr>
        <w:spacing w:after="160" w:line="280" w:lineRule="auto"/>
        <w:bidi/>
        <w:jc w:val="right"/>
      </w:pPr>
      <w:r>
        <w:rPr>
          <w:rFonts w:ascii="DejaVu Sans" w:hAnsi="DejaVu Sans" w:cs="DejaVu Sans" w:eastAsia="DejaVu Sans"/>
          <w:b/>
          <w:color w:val="0B2545"/>
          <w:lang w:val="ar-MA" w:eastAsia="ar-MA" w:bidi="ar-MA"/>
          <w:rtl/>
        </w:rPr>
        <w:t>إثبات العزل:</w:t>
      </w:r>
      <w:r>
        <w:rPr>
          <w:rFonts w:ascii="DejaVu Sans" w:hAnsi="DejaVu Sans" w:cs="DejaVu Sans" w:eastAsia="DejaVu Sans"/>
          <w:lang w:val="ar-MA" w:eastAsia="ar-MA" w:bidi="ar-MA"/>
          <w:rtl/>
        </w:rPr>
        <w:t xml:space="preserve"> أضيفوا اختبارات سلبية آلية عابرة للمستأجرين لكل عائلة مستودع/مسار؛ وقيموا أمن الصفوف في PostgreSQL للدفاع متعدد الطبقات.</w:t>
      </w:r>
    </w:p>
    <w:p>
      <w:pPr>
        <w:keepLines/>
        <w:numPr>
          <w:ilvl w:val="0"/>
          <w:numId w:val="10"/>
        </w:numPr>
        <w:spacing w:after="160" w:line="280" w:lineRule="auto"/>
        <w:bidi/>
        <w:jc w:val="right"/>
      </w:pPr>
      <w:r>
        <w:rPr>
          <w:rFonts w:ascii="DejaVu Sans" w:hAnsi="DejaVu Sans" w:cs="DejaVu Sans" w:eastAsia="DejaVu Sans"/>
          <w:b/>
          <w:color w:val="0B2545"/>
          <w:lang w:val="ar-MA" w:eastAsia="ar-MA" w:bidi="ar-MA"/>
          <w:rtl/>
        </w:rPr>
        <w:t>حماية البيانات الحساسة:</w:t>
      </w:r>
      <w:r>
        <w:rPr>
          <w:rFonts w:ascii="DejaVu Sans" w:hAnsi="DejaVu Sans" w:cs="DejaVu Sans" w:eastAsia="DejaVu Sans"/>
          <w:lang w:val="ar-MA" w:eastAsia="ar-MA" w:bidi="ar-MA"/>
          <w:rtl/>
        </w:rPr>
        <w:t xml:space="preserve"> صنفوا الحقول/الملفات، وشفروا البيانات عالية المخاطر، وقيدوا فك التشفير، وحددوا الاحتفاظ، وسجلوا القراءات/الصادرات ذات الامتياز.</w:t>
      </w:r>
    </w:p>
    <w:p>
      <w:pPr>
        <w:keepLines/>
        <w:numPr>
          <w:ilvl w:val="0"/>
          <w:numId w:val="10"/>
        </w:numPr>
        <w:spacing w:after="160" w:line="280" w:lineRule="auto"/>
        <w:bidi/>
        <w:jc w:val="right"/>
      </w:pPr>
      <w:r>
        <w:rPr>
          <w:rFonts w:ascii="DejaVu Sans" w:hAnsi="DejaVu Sans" w:cs="DejaVu Sans" w:eastAsia="DejaVu Sans"/>
          <w:b/>
          <w:color w:val="0B2545"/>
          <w:lang w:val="ar-MA" w:eastAsia="ar-MA" w:bidi="ar-MA"/>
          <w:rtl/>
        </w:rPr>
        <w:t>مركزة الأسرار:</w:t>
      </w:r>
      <w:r>
        <w:rPr>
          <w:rFonts w:ascii="DejaVu Sans" w:hAnsi="DejaVu Sans" w:cs="DejaVu Sans" w:eastAsia="DejaVu Sans"/>
          <w:lang w:val="ar-MA" w:eastAsia="ar-MA" w:bidi="ar-MA"/>
          <w:rtl/>
        </w:rPr>
        <w:t xml:space="preserve"> استخدموا خدمة أسرار مُدارة، وملكية مفاتيح موثقة، وتدويراً مرحلياً، وتحققاً عند البدء من دون تسجيل القيم.</w:t>
      </w:r>
    </w:p>
    <w:p>
      <w:pPr>
        <w:keepLines/>
        <w:numPr>
          <w:ilvl w:val="0"/>
          <w:numId w:val="10"/>
        </w:numPr>
        <w:spacing w:after="160" w:line="280" w:lineRule="auto"/>
        <w:bidi/>
        <w:jc w:val="right"/>
      </w:pPr>
      <w:r>
        <w:rPr>
          <w:rFonts w:ascii="DejaVu Sans" w:hAnsi="DejaVu Sans" w:cs="DejaVu Sans" w:eastAsia="DejaVu Sans"/>
          <w:b/>
          <w:color w:val="0B2545"/>
          <w:lang w:val="ar-MA" w:eastAsia="ar-MA" w:bidi="ar-MA"/>
          <w:rtl/>
        </w:rPr>
        <w:t>توسيع التدقيق:</w:t>
      </w:r>
      <w:r>
        <w:rPr>
          <w:rFonts w:ascii="DejaVu Sans" w:hAnsi="DejaVu Sans" w:cs="DejaVu Sans" w:eastAsia="DejaVu Sans"/>
          <w:lang w:val="ar-MA" w:eastAsia="ar-MA" w:bidi="ar-MA"/>
          <w:rtl/>
        </w:rPr>
        <w:t xml:space="preserve"> غطوا كل تغيير حساس واسترداد وتغيير دور وتصدير بيانات وانتحال للدعم وتغيير إعداد بسياق ثابت.</w:t>
      </w:r>
    </w:p>
    <w:p>
      <w:pPr>
        <w:keepLines/>
        <w:numPr>
          <w:ilvl w:val="0"/>
          <w:numId w:val="10"/>
        </w:numPr>
        <w:spacing w:after="160" w:line="280" w:lineRule="auto"/>
        <w:bidi/>
        <w:jc w:val="right"/>
      </w:pPr>
      <w:r>
        <w:rPr>
          <w:rFonts w:ascii="DejaVu Sans" w:hAnsi="DejaVu Sans" w:cs="DejaVu Sans" w:eastAsia="DejaVu Sans"/>
          <w:b/>
          <w:color w:val="0B2545"/>
          <w:lang w:val="ar-MA" w:eastAsia="ar-MA" w:bidi="ar-MA"/>
          <w:rtl/>
        </w:rPr>
        <w:t>التحقق الخارجي:</w:t>
      </w:r>
      <w:r>
        <w:rPr>
          <w:rFonts w:ascii="DejaVu Sans" w:hAnsi="DejaVu Sans" w:cs="DejaVu Sans" w:eastAsia="DejaVu Sans"/>
          <w:lang w:val="ar-MA" w:eastAsia="ar-MA" w:bidi="ar-MA"/>
          <w:rtl/>
        </w:rPr>
        <w:t xml:space="preserve"> نفذوا نمذجة للتهديدات وفحوص SAST/SCA/الأسرار/IaC/الحاويات واختبار اختراق مستقلاً بعد استعادة إطار النشر.</w:t>
      </w:r>
    </w:p>
    <w:p>
      <w:pPr>
        <w:pStyle w:val="Heading1"/>
        <w:bidi/>
        <w:jc w:val="right"/>
      </w:pPr>
      <w:r>
        <w:rPr>
          <w:rFonts w:ascii="DejaVu Sans" w:hAnsi="DejaVu Sans" w:cs="DejaVu Sans" w:eastAsia="DejaVu Sans"/>
          <w:lang w:val="ar-MA" w:eastAsia="ar-MA" w:bidi="ar-MA"/>
          <w:rtl/>
        </w:rPr>
        <w:t>13. النشر والعمليات وقابلية التوسع</w:t>
      </w:r>
    </w:p>
    <w:p>
      <w:pPr>
        <w:pStyle w:val="Heading2"/>
        <w:bidi/>
        <w:jc w:val="right"/>
      </w:pPr>
      <w:r>
        <w:rPr>
          <w:rFonts w:ascii="DejaVu Sans" w:hAnsi="DejaVu Sans" w:cs="DejaVu Sans" w:eastAsia="DejaVu Sans"/>
          <w:lang w:val="ar-MA" w:eastAsia="ar-MA" w:bidi="ar-MA"/>
          <w:rtl/>
        </w:rPr>
        <w:t>نية النشر مقابل الأدلة</w:t>
      </w:r>
    </w:p>
    <w:p>
      <w:pPr>
        <w:keepLines w:val="0"/>
        <w:bidi/>
        <w:jc w:val="right"/>
      </w:pPr>
      <w:r>
        <w:rPr>
          <w:rFonts w:ascii="DejaVu Sans" w:hAnsi="DejaVu Sans" w:cs="DejaVu Sans" w:eastAsia="DejaVu Sans"/>
          <w:b w:val="0"/>
          <w:i w:val="0"/>
          <w:lang w:val="ar-MA" w:eastAsia="ar-MA" w:bidi="ar-MA"/>
          <w:rtl/>
        </w:rPr>
        <w:t>تشير برامج الجذر النصية إلى نشر Docker Compose بواجهات يمكن تشغيلها منفصلة وAPI وPostgreSQL وRedis وأدوات سجل/إدارة وأوامر نسخ احتياطي/استعادة. لم يوجد أي من ملفات Compose أو البرامج النصية المشار إليها. وعليه فإن طوبولوجيا وقت التشغيل في هذا التقرير بنية منطقية وليست نشراً إنتاجياً متحققاً منه.</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600"/>
        <w:gridCol w:w="3530"/>
        <w:gridCol w:w="4230"/>
      </w:tblGrid>
      <w:tr>
        <w:trPr>
          <w:tblHeader w:val="true"/>
          <w:cantSplit/>
        </w:trPr>
        <w:tc>
          <w:tcPr>
            <w:tcW w:type="dxa" w:w="16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القدرة</w:t>
            </w:r>
          </w:p>
        </w:tc>
        <w:tc>
          <w:tcPr>
            <w:tcW w:type="dxa" w:w="353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الدليل الحالي</w:t>
            </w:r>
          </w:p>
        </w:tc>
        <w:tc>
          <w:tcPr>
            <w:tcW w:type="dxa" w:w="423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متطلب الإنتاج</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البناء/الإصدار</w:t>
            </w:r>
          </w:p>
        </w:tc>
        <w:tc>
          <w:tcPr>
            <w:tcW w:type="dxa" w:w="35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مساحات عمل npm وبرامج Turbo؛ الإعدادات المطلوبة غائبة</w:t>
            </w:r>
          </w:p>
        </w:tc>
        <w:tc>
          <w:tcPr>
            <w:tcW w:type="dxa" w:w="42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مشغل نظيف وسلسلة أدوات مثبتة وSBOM وصور ثابتة موقعة ومصدر/تصديق.</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ترحيل قاعدة البيانات</w:t>
            </w:r>
          </w:p>
        </w:tc>
        <w:tc>
          <w:tcPr>
            <w:tcW w:type="dxa" w:w="35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ترحيلات Prisma وإشارة إلى برنامج النشر</w:t>
            </w:r>
          </w:p>
        </w:tc>
        <w:tc>
          <w:tcPr>
            <w:tcW w:type="dxa" w:w="42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فحص مسبق وتسلسل متوافق رجعياً وأقفال وخطة تراجع/تقدم وبوابة نسخ احتياطي.</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الصحة</w:t>
            </w:r>
          </w:p>
        </w:tc>
        <w:tc>
          <w:tcPr>
            <w:tcW w:type="dxa" w:w="35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/health يعيد ok</w:t>
            </w:r>
          </w:p>
        </w:tc>
        <w:tc>
          <w:tcPr>
            <w:tcW w:type="dxa" w:w="42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افصلوا الحياة/الجاهزية؛ وتحققوا من قاعدة البيانات وRedis والتخزين والترحيلات والإعداد الحرج.</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الإيقاف</w:t>
            </w:r>
          </w:p>
        </w:tc>
        <w:tc>
          <w:tcPr>
            <w:tcW w:type="dxa" w:w="35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لم يُثبت مسار إنهاء سلس</w:t>
            </w:r>
          </w:p>
        </w:tc>
        <w:tc>
          <w:tcPr>
            <w:tcW w:type="dxa" w:w="42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أوقفوا الاستقبال وفرغوا أعمال HTTP/socket وأغلقوا قاعدة البيانات/Redis وأنهوا/أجّروا المهام واكشفوا حالة الإنهاء.</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قابلية الرصد</w:t>
            </w:r>
          </w:p>
        </w:tc>
        <w:tc>
          <w:tcPr>
            <w:tcW w:type="dxa" w:w="35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تسجيل بأسلوب Morgan/console</w:t>
            </w:r>
          </w:p>
        </w:tc>
        <w:tc>
          <w:tcPr>
            <w:tcW w:type="dxa" w:w="42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سجلات منظمة ومقاييس وتتبع ولوحات وتنبيهات ومعرفات ترابط وحجب.</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التعافي</w:t>
            </w:r>
          </w:p>
        </w:tc>
        <w:tc>
          <w:tcPr>
            <w:tcW w:type="dxa" w:w="35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أسماء برامج نصية فقط</w:t>
            </w:r>
          </w:p>
        </w:tc>
        <w:tc>
          <w:tcPr>
            <w:tcW w:type="dxa" w:w="42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نسخ احتياطية مشفرة وPITR وإصدارات كائنات واستعادة مختبرة وRPO/RTO موثقان.</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الطرح</w:t>
            </w:r>
          </w:p>
        </w:tc>
        <w:tc>
          <w:tcPr>
            <w:tcW w:type="dxa" w:w="35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غير مثبت</w:t>
            </w:r>
          </w:p>
        </w:tc>
        <w:tc>
          <w:tcPr>
            <w:tcW w:type="dxa" w:w="423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نشر تجريبي/أزرق-أخضر وتوافق الترحيل واختبارات دخان آلية ومشغل تراجع.</w:t>
            </w:r>
          </w:p>
        </w:tc>
      </w:tr>
    </w:tbl>
    <w:p>
      <w:pPr>
        <w:spacing w:after="20"/>
        <w:bidi/>
        <w:jc w:val="right"/>
      </w:pPr>
    </w:p>
    <w:p>
      <w:pPr>
        <w:pStyle w:val="Heading2"/>
        <w:bidi/>
        <w:jc w:val="right"/>
      </w:pPr>
      <w:r>
        <w:rPr>
          <w:rFonts w:ascii="DejaVu Sans" w:hAnsi="DejaVu Sans" w:cs="DejaVu Sans" w:eastAsia="DejaVu Sans"/>
          <w:lang w:val="ar-MA" w:eastAsia="ar-MA" w:bidi="ar-MA"/>
          <w:rtl/>
        </w:rPr>
        <w:t>معوقات التوسع الأفقي</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850"/>
        <w:gridCol w:w="3920"/>
        <w:gridCol w:w="3590"/>
      </w:tblGrid>
      <w:tr>
        <w:trPr>
          <w:tblHeader w:val="true"/>
          <w:cantSplit/>
        </w:trPr>
        <w:tc>
          <w:tcPr>
            <w:tcW w:type="dxa" w:w="18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المعوق</w:t>
            </w:r>
          </w:p>
        </w:tc>
        <w:tc>
          <w:tcPr>
            <w:tcW w:type="dxa" w:w="392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نمط الفشل عند أكثر من نسخة API</w:t>
            </w:r>
          </w:p>
        </w:tc>
        <w:tc>
          <w:tcPr>
            <w:tcW w:type="dxa" w:w="359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التصميم المستهدف</w:t>
            </w:r>
          </w:p>
        </w:tc>
      </w:tr>
      <w:tr>
        <w:trPr>
          <w:cantSplit/>
        </w:trPr>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حدود معدل في الذاكرة</w:t>
            </w:r>
          </w:p>
        </w:tc>
        <w:tc>
          <w:tcPr>
            <w:tcW w:type="dxa" w:w="392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تسمح العدادات المستقلة بتجاوز إجمالي وتُعاد عند النشر.</w:t>
            </w:r>
          </w:p>
        </w:tc>
        <w:tc>
          <w:tcPr>
            <w:tcW w:type="dxa" w:w="359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مخزن حدود مدعوم بـRedis بسياسات الفاعل/المستأجر/IP.</w:t>
            </w:r>
          </w:p>
        </w:tc>
      </w:tr>
      <w:tr>
        <w:trPr>
          <w:cantSplit/>
        </w:trPr>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خريطة عدم تكرار الحجز</w:t>
            </w:r>
          </w:p>
        </w:tc>
        <w:tc>
          <w:tcPr>
            <w:tcW w:type="dxa" w:w="392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قد تصل الأوامر المكررة إلى نسخ مختلفة؛ وتختفي المفاتيح عند إعادة التشغيل.</w:t>
            </w:r>
          </w:p>
        </w:tc>
        <w:tc>
          <w:tcPr>
            <w:tcW w:type="dxa" w:w="359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دفتر عدم تكرار في قاعدة البيانات/Redis مع إعادة الاستجابة.</w:t>
            </w:r>
          </w:p>
        </w:tc>
      </w:tr>
      <w:tr>
        <w:trPr>
          <w:cantSplit/>
        </w:trPr>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cron مضمن</w:t>
            </w:r>
          </w:p>
        </w:tc>
        <w:tc>
          <w:tcPr>
            <w:tcW w:type="dxa" w:w="392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تنفذ كل نسخة الجدول نفسه.</w:t>
            </w:r>
          </w:p>
        </w:tc>
        <w:tc>
          <w:tcPr>
            <w:tcW w:type="dxa" w:w="359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مجدول خارجي + طابور، أو إيجار قائد بمهام غير مكررة.</w:t>
            </w:r>
          </w:p>
        </w:tc>
      </w:tr>
      <w:tr>
        <w:trPr>
          <w:cantSplit/>
        </w:trPr>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ملفات محلية</w:t>
            </w:r>
          </w:p>
        </w:tc>
        <w:tc>
          <w:tcPr>
            <w:tcW w:type="dxa" w:w="392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قد لا ترى نسخة ملفات رفعتها أخرى؛ وفقد القرص يهدد الأدلة.</w:t>
            </w:r>
          </w:p>
        </w:tc>
        <w:tc>
          <w:tcPr>
            <w:tcW w:type="dxa" w:w="359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تخزين كائنات ووصول خاص موقع وفحص برمجيات خبيثة وسياسة دورة حياة/إصدار.</w:t>
            </w:r>
          </w:p>
        </w:tc>
      </w:tr>
      <w:tr>
        <w:trPr>
          <w:cantSplit/>
        </w:trPr>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صندوق صادر بلا عامل</w:t>
            </w:r>
          </w:p>
        </w:tc>
        <w:tc>
          <w:tcPr>
            <w:tcW w:type="dxa" w:w="392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تتراكم صفوف دائمة ولا يحدث تسليم.</w:t>
            </w:r>
          </w:p>
        </w:tc>
        <w:tc>
          <w:tcPr>
            <w:tcW w:type="dxa" w:w="359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مستهلك صندوق صادر معاملاتي وإعادات ورسائل ميتة وموائمات مزودين ومقاييس.</w:t>
            </w:r>
          </w:p>
        </w:tc>
      </w:tr>
      <w:tr>
        <w:trPr>
          <w:cantSplit/>
        </w:trPr>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بث المقابس</w:t>
            </w:r>
          </w:p>
        </w:tc>
        <w:tc>
          <w:tcPr>
            <w:tcW w:type="dxa" w:w="392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مشترك Redis موجود لكن مسار النشر/التسليم من طرف إلى طرف غير مكتمل.</w:t>
            </w:r>
          </w:p>
        </w:tc>
        <w:tc>
          <w:tcPr>
            <w:tcW w:type="dxa" w:w="359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حدث صندوق الصادر ← Redis/الطابور ← بث Socket.IO مفوض.</w:t>
            </w:r>
          </w:p>
        </w:tc>
      </w:tr>
    </w:tbl>
    <w:p>
      <w:pPr>
        <w:spacing w:after="20"/>
        <w:bidi/>
        <w:jc w:val="right"/>
      </w:pPr>
    </w:p>
    <w:p>
      <w:pPr>
        <w:pStyle w:val="Heading2"/>
        <w:bidi/>
        <w:jc w:val="right"/>
      </w:pPr>
      <w:r>
        <w:rPr>
          <w:rFonts w:ascii="DejaVu Sans" w:hAnsi="DejaVu Sans" w:cs="DejaVu Sans" w:eastAsia="DejaVu Sans"/>
          <w:lang w:val="ar-MA" w:eastAsia="ar-MA" w:bidi="ar-MA"/>
          <w:rtl/>
        </w:rPr>
        <w:t>مخاطر مستوى تحكم الحاويات</w:t>
      </w:r>
    </w:p>
    <w:p>
      <w:pPr>
        <w:keepLines w:val="0"/>
        <w:bidi/>
        <w:jc w:val="right"/>
      </w:pPr>
      <w:r>
        <w:rPr>
          <w:rFonts w:ascii="DejaVu Sans" w:hAnsi="DejaVu Sans" w:cs="DejaVu Sans" w:eastAsia="DejaVu Sans"/>
          <w:b w:val="0"/>
          <w:i w:val="0"/>
          <w:lang w:val="ar-MA" w:eastAsia="ar-MA" w:bidi="ar-MA"/>
          <w:rtl/>
        </w:rPr>
        <w:t>تحاول خدمة إدارة عمليات نشر Docker Compose لكل شركة عبر وصول Docker CLI/socket. نموذج قاعدة البيانات المتوقع غائب، والترحيل عنصر نائب SELECT 1، ولم توجد نقاط نهاية إدارة API مطابقة. وحتى إن اكتملت، تمنح وصلة Docker تحكماً يقارب مستوى المضيف ولا ينبغي أن تكون داخل API أعمال عامة.</w:t>
      </w:r>
    </w:p>
    <w:p>
      <w:pPr>
        <w:keepLines/>
        <w:spacing w:before="100" w:after="200"/>
        <w:ind w:left="173" w:right="115"/>
        <w:shd w:fill="FDECEC"/>
        <w:pBdr>
          <w:left w:val="single" w:sz="20" w:space="8" w:color="9B1C1C"/>
        </w:pBdr>
        <w:bidi/>
        <w:jc w:val="right"/>
      </w:pPr>
      <w:r>
        <w:rPr>
          <w:rFonts w:ascii="DejaVu Sans" w:hAnsi="DejaVu Sans" w:cs="DejaVu Sans" w:eastAsia="DejaVu Sans"/>
          <w:b/>
          <w:color w:val="9B1C1C"/>
          <w:lang w:val="ar-MA" w:eastAsia="ar-MA" w:bidi="ar-MA"/>
          <w:rtl/>
        </w:rPr>
        <w:t xml:space="preserve">القرار الموصى به  </w:t>
      </w:r>
      <w:r>
        <w:rPr>
          <w:rFonts w:ascii="DejaVu Sans" w:hAnsi="DejaVu Sans" w:cs="DejaVu Sans" w:eastAsia="DejaVu Sans"/>
          <w:color w:val="101828"/>
          <w:lang w:val="ar-MA" w:eastAsia="ar-MA" w:bidi="ar-MA"/>
          <w:rtl/>
        </w:rPr>
        <w:t>عطلوا الخاصية وأزيلوها من نطاق الإنتاج. وإذا كانت أوقات التشغيل المعزولة لكل مستأجر متطلباً تجارياً حقيقياً، فابنوا متحكماً منفصلاً للنشر بأقل امتياز، مع نموذج مطابقة صريح وقوالب موقعة وسياسة شبكة/تخزين وتدقيق وحصص ومن دون تعرض مباشر لطلبات المستأجرين.</w:t>
      </w:r>
    </w:p>
    <w:p>
      <w:pPr>
        <w:pStyle w:val="Heading2"/>
        <w:bidi/>
        <w:jc w:val="right"/>
      </w:pPr>
      <w:r>
        <w:rPr>
          <w:rFonts w:ascii="DejaVu Sans" w:hAnsi="DejaVu Sans" w:cs="DejaVu Sans" w:eastAsia="DejaVu Sans"/>
          <w:lang w:val="ar-MA" w:eastAsia="ar-MA" w:bidi="ar-MA"/>
          <w:rtl/>
        </w:rPr>
        <w:t>استراتيجية الأداء</w:t>
      </w:r>
    </w:p>
    <w:p>
      <w:pPr>
        <w:keepLines/>
        <w:numPr>
          <w:ilvl w:val="0"/>
          <w:numId w:val="10"/>
        </w:numPr>
        <w:spacing w:after="160" w:line="280" w:lineRule="auto"/>
        <w:bidi/>
        <w:jc w:val="right"/>
      </w:pPr>
      <w:r>
        <w:rPr>
          <w:rFonts w:ascii="DejaVu Sans" w:hAnsi="DejaVu Sans" w:cs="DejaVu Sans" w:eastAsia="DejaVu Sans"/>
          <w:lang w:val="ar-MA" w:eastAsia="ar-MA" w:bidi="ar-MA"/>
          <w:rtl/>
        </w:rPr>
        <w:t>قيسوا قبل التقسيم: زمن الطلب حسب المسار، وعدد/مدة استعلامات Prisma، وتنازع الأقفال، ونسبة إصابة الذاكرة المؤقتة، وتأخر المهام، واتصالات المقابس، وزمن المزود.</w:t>
      </w:r>
    </w:p>
    <w:p>
      <w:pPr>
        <w:keepLines/>
        <w:numPr>
          <w:ilvl w:val="0"/>
          <w:numId w:val="10"/>
        </w:numPr>
        <w:spacing w:after="160" w:line="280" w:lineRule="auto"/>
        <w:bidi/>
        <w:jc w:val="right"/>
      </w:pPr>
      <w:r>
        <w:rPr>
          <w:rFonts w:ascii="DejaVu Sans" w:hAnsi="DejaVu Sans" w:cs="DejaVu Sans" w:eastAsia="DejaVu Sans"/>
          <w:lang w:val="ar-MA" w:eastAsia="ar-MA" w:bidi="ar-MA"/>
          <w:rtl/>
        </w:rPr>
        <w:t>حددوا أهداف مستوى خدمة للبحث وعرض السعر وإنشاء الحجز وتأكيد الدفع وقراءات لوحة المعلومات وتسليم الإشعارات.</w:t>
      </w:r>
    </w:p>
    <w:p>
      <w:pPr>
        <w:keepLines/>
        <w:numPr>
          <w:ilvl w:val="0"/>
          <w:numId w:val="10"/>
        </w:numPr>
        <w:spacing w:after="160" w:line="280" w:lineRule="auto"/>
        <w:bidi/>
        <w:jc w:val="right"/>
      </w:pPr>
      <w:r>
        <w:rPr>
          <w:rFonts w:ascii="DejaVu Sans" w:hAnsi="DejaVu Sans" w:cs="DejaVu Sans" w:eastAsia="DejaVu Sans"/>
          <w:lang w:val="ar-MA" w:eastAsia="ar-MA" w:bidi="ar-MA"/>
          <w:rtl/>
        </w:rPr>
        <w:t>استخدموا خطط الاستعلام وفهارس مركبة للمستأجر/الحالة/التاريخ لتقاويم الأسطول وقوائم الحجوزات والإشعارات والفوترة والبحث.</w:t>
      </w:r>
    </w:p>
    <w:p>
      <w:pPr>
        <w:keepLines/>
        <w:numPr>
          <w:ilvl w:val="0"/>
          <w:numId w:val="10"/>
        </w:numPr>
        <w:spacing w:after="160" w:line="280" w:lineRule="auto"/>
        <w:bidi/>
        <w:jc w:val="right"/>
      </w:pPr>
      <w:r>
        <w:rPr>
          <w:rFonts w:ascii="DejaVu Sans" w:hAnsi="DejaVu Sans" w:cs="DejaVu Sans" w:eastAsia="DejaVu Sans"/>
          <w:lang w:val="ar-MA" w:eastAsia="ar-MA" w:bidi="ar-MA"/>
          <w:rtl/>
        </w:rPr>
        <w:t>اختبروا حملاً بانحراف واقعي للمستأجرين: بضعة أساطيل كبيرة، ومستأجرون صغار كثيرون، وبحث متزامن بنطاقات تاريخية، ودفعات خطافات ويب، ورفع صور/مستندات.</w:t>
      </w:r>
    </w:p>
    <w:p>
      <w:pPr>
        <w:keepLines/>
        <w:numPr>
          <w:ilvl w:val="0"/>
          <w:numId w:val="10"/>
        </w:numPr>
        <w:spacing w:after="160" w:line="280" w:lineRule="auto"/>
        <w:bidi/>
        <w:jc w:val="right"/>
      </w:pPr>
      <w:r>
        <w:rPr>
          <w:rFonts w:ascii="DejaVu Sans" w:hAnsi="DejaVu Sans" w:cs="DejaVu Sans" w:eastAsia="DejaVu Sans"/>
          <w:lang w:val="ar-MA" w:eastAsia="ar-MA" w:bidi="ar-MA"/>
          <w:rtl/>
        </w:rPr>
        <w:t>افصلوا الخدمات فقط عندما يبرر التكلفة نمط حمل قابل للتوسع مستقلاً أو حد امتثال أو مجال فشل أو ملكية فريق.</w:t>
      </w:r>
    </w:p>
    <w:p>
      <w:pPr>
        <w:pStyle w:val="Heading1"/>
        <w:bidi/>
        <w:jc w:val="right"/>
      </w:pPr>
      <w:r>
        <w:rPr>
          <w:rFonts w:ascii="DejaVu Sans" w:hAnsi="DejaVu Sans" w:cs="DejaVu Sans" w:eastAsia="DejaVu Sans"/>
          <w:lang w:val="ar-MA" w:eastAsia="ar-MA" w:bidi="ar-MA"/>
          <w:rtl/>
        </w:rPr>
        <w:t>14. هندسة الجودة وقابلية الصيانة</w:t>
      </w:r>
    </w:p>
    <w:p>
      <w:pPr>
        <w:pStyle w:val="Heading2"/>
        <w:bidi/>
        <w:jc w:val="right"/>
      </w:pPr>
      <w:r>
        <w:rPr>
          <w:rFonts w:ascii="DejaVu Sans" w:hAnsi="DejaVu Sans" w:cs="DejaVu Sans" w:eastAsia="DejaVu Sans"/>
          <w:lang w:val="ar-MA" w:eastAsia="ar-MA" w:bidi="ar-MA"/>
          <w:rtl/>
        </w:rPr>
        <w:t>الاستثمار في الاختبارات</w:t>
      </w:r>
    </w:p>
    <w:p>
      <w:pPr>
        <w:keepLines w:val="0"/>
        <w:bidi/>
        <w:jc w:val="right"/>
      </w:pPr>
      <w:r>
        <w:rPr>
          <w:rFonts w:ascii="DejaVu Sans" w:hAnsi="DejaVu Sans" w:cs="DejaVu Sans" w:eastAsia="DejaVu Sans"/>
          <w:b w:val="0"/>
          <w:i w:val="0"/>
          <w:lang w:val="ar-MA" w:eastAsia="ar-MA" w:bidi="ar-MA"/>
          <w:rtl/>
        </w:rPr>
        <w:t>يحتوي المصدر على 266 ملف اختبار ونحو 22,716 سطر شفرة اختبار. تهيمن API بـ185 ملفاً، بينما تضم الواجهات مجتمعة 81. وهذا دليل مهم على نية هندسية والتحقق من المجال. لكن النية لا تساوي بوابة تسليم ناجحة وقابلة لإعادة الإنتاج.</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600"/>
        <w:gridCol w:w="1000"/>
        <w:gridCol w:w="6760"/>
      </w:tblGrid>
      <w:tr>
        <w:trPr>
          <w:tblHeader w:val="true"/>
          <w:cantSplit/>
        </w:trPr>
        <w:tc>
          <w:tcPr>
            <w:tcW w:type="dxa" w:w="16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المجال</w:t>
            </w:r>
          </w:p>
        </w:tc>
        <w:tc>
          <w:tcPr>
            <w:tcW w:type="dxa" w:w="10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ملفات الاختبار</w:t>
            </w:r>
          </w:p>
        </w:tc>
        <w:tc>
          <w:tcPr>
            <w:tcW w:type="dxa" w:w="67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نتيجة التشغيل المضبوط</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‎API‎</w:t>
            </w:r>
          </w:p>
        </w:tc>
        <w:tc>
          <w:tcPr>
            <w:tcW w:type="dxa" w:w="1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‎185‎</w:t>
            </w:r>
          </w:p>
        </w:tc>
        <w:tc>
          <w:tcPr>
            <w:tcW w:type="dxa" w:w="6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لم يُشغل بالكامل لأن مسار الأنواع المشتركة/الإعداد الأساسي غير مكتمل.</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الصفحة الرئيسية</w:t>
            </w:r>
          </w:p>
        </w:tc>
        <w:tc>
          <w:tcPr>
            <w:tcW w:type="dxa" w:w="1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‎41‎</w:t>
            </w:r>
          </w:p>
        </w:tc>
        <w:tc>
          <w:tcPr>
            <w:tcW w:type="dxa" w:w="6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نجحت حزم متعددة ظاهرياً؛ ولم ينته المشغل بصورة سليمة. وأبلغ lint منفصلاً عن 3 أخطاء و4 تحذيرات.</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لوحة المعلومات</w:t>
            </w:r>
          </w:p>
        </w:tc>
        <w:tc>
          <w:tcPr>
            <w:tcW w:type="dxa" w:w="1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‎21‎</w:t>
            </w:r>
          </w:p>
        </w:tc>
        <w:tc>
          <w:tcPr>
            <w:tcW w:type="dxa" w:w="6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نجحت حزم متعددة ظاهرياً؛ ولم ينته المشغل الكامل ضمن التشغيل المضبوط.</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‎Carplace‎</w:t>
            </w:r>
          </w:p>
        </w:tc>
        <w:tc>
          <w:tcPr>
            <w:tcW w:type="dxa" w:w="1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‎12‎</w:t>
            </w:r>
          </w:p>
        </w:tc>
        <w:tc>
          <w:tcPr>
            <w:tcW w:type="dxa" w:w="6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نجحت حزم متعددة ظاهرياً؛ ولم ينته المشغل الكامل ضمن التشغيل المضبوط.</w:t>
            </w:r>
          </w:p>
        </w:tc>
      </w:tr>
      <w:tr>
        <w:trPr>
          <w:cantSplit/>
        </w:trPr>
        <w:tc>
          <w:tcPr>
            <w:tcW w:type="dxa" w:w="1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الإدارة</w:t>
            </w:r>
          </w:p>
        </w:tc>
        <w:tc>
          <w:tcPr>
            <w:tcW w:type="dxa" w:w="10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‎7‎</w:t>
            </w:r>
          </w:p>
        </w:tc>
        <w:tc>
          <w:tcPr>
            <w:tcW w:type="dxa" w:w="6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بدأت الاختبارات ونجحت الحالات الظاهرة؛ وانتهت مهلة التشغيل التسلسلي بعد الملف الأول.</w:t>
            </w:r>
          </w:p>
        </w:tc>
      </w:tr>
    </w:tbl>
    <w:p>
      <w:pPr>
        <w:spacing w:after="20"/>
        <w:bidi/>
        <w:jc w:val="right"/>
      </w:pPr>
    </w:p>
    <w:p>
      <w:pPr>
        <w:pStyle w:val="Heading2"/>
        <w:bidi/>
        <w:jc w:val="right"/>
      </w:pPr>
      <w:r>
        <w:rPr>
          <w:rFonts w:ascii="DejaVu Sans" w:hAnsi="DejaVu Sans" w:cs="DejaVu Sans" w:eastAsia="DejaVu Sans"/>
          <w:lang w:val="ar-MA" w:eastAsia="ar-MA" w:bidi="ar-MA"/>
          <w:rtl/>
        </w:rPr>
        <w:t>اتساق سلسلة الأدوات والاعتماديات</w:t>
      </w:r>
    </w:p>
    <w:p>
      <w:pPr>
        <w:keepLines w:val="0"/>
        <w:bidi/>
        <w:jc w:val="right"/>
      </w:pPr>
      <w:r>
        <w:rPr>
          <w:rFonts w:ascii="DejaVu Sans" w:hAnsi="DejaVu Sans" w:cs="DejaVu Sans" w:eastAsia="DejaVu Sans"/>
          <w:b w:val="0"/>
          <w:i w:val="0"/>
          <w:lang w:val="ar-MA" w:eastAsia="ar-MA" w:bidi="ar-MA"/>
          <w:rtl/>
        </w:rPr>
        <w:t>تعذر على أمر اختبارات الواجهة الأولي تحميل حزمة Rollup الاختيارية الأصلية للمنصة. سمح تثبيت الحزمة من دون حفظ ببدء الحزم، لكنه كشف احتكاكاً أوسع في الإصدارات: استخدمت البيئة وقت تشغيل Node أحدث من الحد الأدنى المعلن للمشروع، وVitest 2.1، ويعلن lucide-react نطاق React نظيراً لا يشمل React 19. وليست هذه بالضرورة عيوب منتج، لكنها توضح ضرورة تثبيت CI للمصفوفة المدعومة الدقيقة ونشرها.</w:t>
      </w:r>
    </w:p>
    <w:p>
      <w:pPr>
        <w:pStyle w:val="Heading2"/>
        <w:bidi/>
        <w:jc w:val="right"/>
      </w:pPr>
      <w:r>
        <w:rPr>
          <w:rFonts w:ascii="DejaVu Sans" w:hAnsi="DejaVu Sans" w:cs="DejaVu Sans" w:eastAsia="DejaVu Sans"/>
          <w:lang w:val="ar-MA" w:eastAsia="ar-MA" w:bidi="ar-MA"/>
          <w:rtl/>
        </w:rPr>
        <w:t>نقاط قوة قابلية الصيانة</w:t>
      </w:r>
    </w:p>
    <w:p>
      <w:pPr>
        <w:keepLines/>
        <w:numPr>
          <w:ilvl w:val="0"/>
          <w:numId w:val="10"/>
        </w:numPr>
        <w:spacing w:after="160" w:line="280" w:lineRule="auto"/>
        <w:bidi/>
        <w:jc w:val="right"/>
      </w:pPr>
      <w:r>
        <w:rPr>
          <w:rFonts w:ascii="DejaVu Sans" w:hAnsi="DejaVu Sans" w:cs="DejaVu Sans" w:eastAsia="DejaVu Sans"/>
          <w:lang w:val="ar-MA" w:eastAsia="ar-MA" w:bidi="ar-MA"/>
          <w:rtl/>
        </w:rPr>
        <w:t>فصل واضح للفئات عبر تطبيقات الصفحة الرئيسية والمستأجر والإدارة والسوق وAPI.</w:t>
      </w:r>
    </w:p>
    <w:p>
      <w:pPr>
        <w:keepLines/>
        <w:numPr>
          <w:ilvl w:val="0"/>
          <w:numId w:val="10"/>
        </w:numPr>
        <w:spacing w:after="160" w:line="280" w:lineRule="auto"/>
        <w:bidi/>
        <w:jc w:val="right"/>
      </w:pPr>
      <w:r>
        <w:rPr>
          <w:rFonts w:ascii="DejaVu Sans" w:hAnsi="DejaVu Sans" w:cs="DejaVu Sans" w:eastAsia="DejaVu Sans"/>
          <w:lang w:val="ar-MA" w:eastAsia="ar-MA" w:bidi="ar-MA"/>
          <w:rtl/>
        </w:rPr>
        <w:t>وحدات API موجهة للمجال بطبقات تحقق وخدمة ومستودع.</w:t>
      </w:r>
    </w:p>
    <w:p>
      <w:pPr>
        <w:keepLines/>
        <w:numPr>
          <w:ilvl w:val="0"/>
          <w:numId w:val="10"/>
        </w:numPr>
        <w:spacing w:after="160" w:line="280" w:lineRule="auto"/>
        <w:bidi/>
        <w:jc w:val="right"/>
      </w:pPr>
      <w:r>
        <w:rPr>
          <w:rFonts w:ascii="DejaVu Sans" w:hAnsi="DejaVu Sans" w:cs="DejaVu Sans" w:eastAsia="DejaVu Sans"/>
          <w:lang w:val="ar-MA" w:eastAsia="ar-MA" w:bidi="ar-MA"/>
          <w:rtl/>
        </w:rPr>
        <w:t>حزمة أنواع مشتركة وعمليات ترحيل كبيرة لقاعدة البيانات.</w:t>
      </w:r>
    </w:p>
    <w:p>
      <w:pPr>
        <w:keepLines/>
        <w:numPr>
          <w:ilvl w:val="0"/>
          <w:numId w:val="10"/>
        </w:numPr>
        <w:spacing w:after="160" w:line="280" w:lineRule="auto"/>
        <w:bidi/>
        <w:jc w:val="right"/>
      </w:pPr>
      <w:r>
        <w:rPr>
          <w:rFonts w:ascii="DejaVu Sans" w:hAnsi="DejaVu Sans" w:cs="DejaVu Sans" w:eastAsia="DejaVu Sans"/>
          <w:lang w:val="ar-MA" w:eastAsia="ar-MA" w:bidi="ar-MA"/>
          <w:rtl/>
        </w:rPr>
        <w:t>معالجة مركزية للأخطاء/معرف الطلب ومفاهيم متسقة للبرمجية الوسيطة للمستأجر.</w:t>
      </w:r>
    </w:p>
    <w:p>
      <w:pPr>
        <w:keepLines/>
        <w:numPr>
          <w:ilvl w:val="0"/>
          <w:numId w:val="10"/>
        </w:numPr>
        <w:spacing w:after="160" w:line="280" w:lineRule="auto"/>
        <w:bidi/>
        <w:jc w:val="right"/>
      </w:pPr>
      <w:r>
        <w:rPr>
          <w:rFonts w:ascii="DejaVu Sans" w:hAnsi="DejaVu Sans" w:cs="DejaVu Sans" w:eastAsia="DejaVu Sans"/>
          <w:lang w:val="ar-MA" w:eastAsia="ar-MA" w:bidi="ar-MA"/>
          <w:rtl/>
        </w:rPr>
        <w:t>مصدر اختبارات واسع، يشمل حالات مسارات وبرمجيات وسيطة ذات صلة بالأمن.</w:t>
      </w:r>
    </w:p>
    <w:p>
      <w:pPr>
        <w:pStyle w:val="Heading2"/>
        <w:bidi/>
        <w:jc w:val="right"/>
      </w:pPr>
      <w:r>
        <w:rPr>
          <w:rFonts w:ascii="DejaVu Sans" w:hAnsi="DejaVu Sans" w:cs="DejaVu Sans" w:eastAsia="DejaVu Sans"/>
          <w:lang w:val="ar-MA" w:eastAsia="ar-MA" w:bidi="ar-MA"/>
          <w:rtl/>
        </w:rPr>
        <w:t>مخاطر قابلية الصيانة</w:t>
      </w:r>
    </w:p>
    <w:p>
      <w:pPr>
        <w:keepLines/>
        <w:numPr>
          <w:ilvl w:val="0"/>
          <w:numId w:val="10"/>
        </w:numPr>
        <w:spacing w:after="160" w:line="280" w:lineRule="auto"/>
        <w:bidi/>
        <w:jc w:val="right"/>
      </w:pPr>
      <w:r>
        <w:rPr>
          <w:rFonts w:ascii="DejaVu Sans" w:hAnsi="DejaVu Sans" w:cs="DejaVu Sans" w:eastAsia="DejaVu Sans"/>
          <w:lang w:val="ar-MA" w:eastAsia="ar-MA" w:bidi="ar-MA"/>
          <w:rtl/>
        </w:rPr>
        <w:t>يجعل غياب إعداد البناء الجذري والبرامج النصية الواجهة المعلنة للمستودع غير موثوقة.</w:t>
      </w:r>
    </w:p>
    <w:p>
      <w:pPr>
        <w:keepLines/>
        <w:numPr>
          <w:ilvl w:val="0"/>
          <w:numId w:val="10"/>
        </w:numPr>
        <w:spacing w:after="160" w:line="280" w:lineRule="auto"/>
        <w:bidi/>
        <w:jc w:val="right"/>
      </w:pPr>
      <w:r>
        <w:rPr>
          <w:rFonts w:ascii="DejaVu Sans" w:hAnsi="DejaVu Sans" w:cs="DejaVu Sans" w:eastAsia="DejaVu Sans"/>
          <w:lang w:val="ar-MA" w:eastAsia="ar-MA" w:bidi="ar-MA"/>
          <w:rtl/>
        </w:rPr>
        <w:t>يشجع OpenAPI اليدوي وعملاء الواجهة المكررون وأنظمة الواجهة المنفصلة والاعتماديات المتكررة على الانحراف.</w:t>
      </w:r>
    </w:p>
    <w:p>
      <w:pPr>
        <w:keepLines/>
        <w:numPr>
          <w:ilvl w:val="0"/>
          <w:numId w:val="10"/>
        </w:numPr>
        <w:spacing w:after="160" w:line="280" w:lineRule="auto"/>
        <w:bidi/>
        <w:jc w:val="right"/>
      </w:pPr>
      <w:r>
        <w:rPr>
          <w:rFonts w:ascii="DejaVu Sans" w:hAnsi="DejaVu Sans" w:cs="DejaVu Sans" w:eastAsia="DejaVu Sans"/>
          <w:lang w:val="ar-MA" w:eastAsia="ar-MA" w:bidi="ar-MA"/>
          <w:rtl/>
        </w:rPr>
        <w:t>تجمع مكونات عميل كبيرة على مستوى الصفحة العرض والشبكة والحالة وتنسيق الأعمال.</w:t>
      </w:r>
    </w:p>
    <w:p>
      <w:pPr>
        <w:keepLines/>
        <w:numPr>
          <w:ilvl w:val="0"/>
          <w:numId w:val="10"/>
        </w:numPr>
        <w:spacing w:after="160" w:line="280" w:lineRule="auto"/>
        <w:bidi/>
        <w:jc w:val="right"/>
      </w:pPr>
      <w:r>
        <w:rPr>
          <w:rFonts w:ascii="DejaVu Sans" w:hAnsi="DejaVu Sans" w:cs="DejaVu Sans" w:eastAsia="DejaVu Sans"/>
          <w:lang w:val="ar-MA" w:eastAsia="ar-MA" w:bidi="ar-MA"/>
          <w:rtl/>
        </w:rPr>
        <w:t>تنشئ نماذج الفوترة والإشعار القديمة/الجديدة مصادر حقيقة مفاهيمية متعددة.</w:t>
      </w:r>
    </w:p>
    <w:p>
      <w:pPr>
        <w:keepLines/>
        <w:numPr>
          <w:ilvl w:val="0"/>
          <w:numId w:val="10"/>
        </w:numPr>
        <w:spacing w:after="160" w:line="280" w:lineRule="auto"/>
        <w:bidi/>
        <w:jc w:val="right"/>
      </w:pPr>
      <w:r>
        <w:rPr>
          <w:rFonts w:ascii="DejaVu Sans" w:hAnsi="DejaVu Sans" w:cs="DejaVu Sans" w:eastAsia="DejaVu Sans"/>
          <w:lang w:val="ar-MA" w:eastAsia="ar-MA" w:bidi="ar-MA"/>
          <w:rtl/>
        </w:rPr>
        <w:t>تضعف إصدارات README القديمة وخصائص الواجهة الشبحية الثقة في التوثيق ونطاق الإصدار.</w:t>
      </w:r>
    </w:p>
    <w:p>
      <w:pPr>
        <w:pStyle w:val="Heading2"/>
        <w:bidi/>
        <w:jc w:val="right"/>
      </w:pPr>
      <w:r>
        <w:rPr>
          <w:rFonts w:ascii="DejaVu Sans" w:hAnsi="DejaVu Sans" w:cs="DejaVu Sans" w:eastAsia="DejaVu Sans"/>
          <w:lang w:val="ar-MA" w:eastAsia="ar-MA" w:bidi="ar-MA"/>
          <w:rtl/>
        </w:rPr>
        <w:t>بوابة الجودة الهندسية الموصى بها</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300"/>
        <w:gridCol w:w="3960"/>
        <w:gridCol w:w="4100"/>
      </w:tblGrid>
      <w:tr>
        <w:trPr>
          <w:tblHeader w:val="true"/>
          <w:cantSplit/>
        </w:trPr>
        <w:tc>
          <w:tcPr>
            <w:tcW w:type="dxa" w:w="13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البوابة</w:t>
            </w:r>
          </w:p>
        </w:tc>
        <w:tc>
          <w:tcPr>
            <w:tcW w:type="dxa" w:w="39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التنفيذ</w:t>
            </w:r>
          </w:p>
        </w:tc>
        <w:tc>
          <w:tcPr>
            <w:tcW w:type="dxa" w:w="41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معيار الخروج</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التثبيت</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npm ci من ذاكرة نظيفة على Node/npm مثبتين</w:t>
            </w:r>
          </w:p>
        </w:tc>
        <w:tc>
          <w:tcPr>
            <w:tcW w:type="dxa" w:w="4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لا تعديل للقفل؛ وإنتاج SBOM</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التوليد</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Prisma + الأنواع المشتركة</w:t>
            </w:r>
          </w:p>
        </w:tc>
        <w:tc>
          <w:tcPr>
            <w:tcW w:type="dxa" w:w="4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لا انحراف مولد غير ملتزم</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ساكن</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التنسيق وlint وفحص الأنواع وفحوص الأسرار/SAST/SCA</w:t>
            </w:r>
          </w:p>
        </w:tc>
        <w:tc>
          <w:tcPr>
            <w:tcW w:type="dxa" w:w="4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صفر أخطاء؛ إنفاذ سياسة الثغرات</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الاختبار</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الوحدات والتكامل وAPI وإتاحة المتصفح</w:t>
            </w:r>
          </w:p>
        </w:tc>
        <w:tc>
          <w:tcPr>
            <w:tcW w:type="dxa" w:w="4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اكتمال حتمي؛ وحدود تغطية ومسارات حرجة</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البناء</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كل التطبيقات وAPI</w:t>
            </w:r>
          </w:p>
        </w:tc>
        <w:tc>
          <w:tcPr>
            <w:tcW w:type="dxa" w:w="4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آثار ثابتة ذات إصدارات؛ سياسة الحجم وخرائط المصدر</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قاعدة البيانات</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ترحيل على قاعدة فارغة وقاعدة الإصدار السابق</w:t>
            </w:r>
          </w:p>
        </w:tc>
        <w:tc>
          <w:tcPr>
            <w:tcW w:type="dxa" w:w="4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توافق رجعي ونسخ احتياطي وأدلة تراجع/تقدم</w:t>
            </w:r>
          </w:p>
        </w:tc>
      </w:tr>
      <w:tr>
        <w:trPr>
          <w:cantSplit/>
        </w:trPr>
        <w:tc>
          <w:tcPr>
            <w:tcW w:type="dxa" w:w="13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النشر</w:t>
            </w:r>
          </w:p>
        </w:tc>
        <w:tc>
          <w:tcPr>
            <w:tcW w:type="dxa" w:w="3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اختبار دخان في بيئة مؤقتة</w:t>
            </w:r>
          </w:p>
        </w:tc>
        <w:tc>
          <w:tcPr>
            <w:tcW w:type="dxa" w:w="41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الصحة/الجاهزية والمصادقة والحجز وخطاف اختبار الدفع والوصول إلى المستندات</w:t>
            </w:r>
          </w:p>
        </w:tc>
      </w:tr>
    </w:tbl>
    <w:p>
      <w:pPr>
        <w:spacing w:after="20"/>
        <w:bidi/>
        <w:jc w:val="right"/>
      </w:pPr>
    </w:p>
    <w:p>
      <w:pPr>
        <w:pStyle w:val="Heading1"/>
        <w:bidi/>
        <w:jc w:val="right"/>
      </w:pPr>
      <w:r>
        <w:rPr>
          <w:rFonts w:ascii="DejaVu Sans" w:hAnsi="DejaVu Sans" w:cs="DejaVu Sans" w:eastAsia="DejaVu Sans"/>
          <w:lang w:val="ar-MA" w:eastAsia="ar-MA" w:bidi="ar-MA"/>
          <w:rtl/>
        </w:rPr>
        <w:t>15. سجل المخاطر الموحد</w:t>
      </w:r>
    </w:p>
    <w:p>
      <w:pPr>
        <w:keepLines w:val="0"/>
        <w:bidi/>
        <w:jc w:val="right"/>
      </w:pPr>
      <w:r>
        <w:rPr>
          <w:rFonts w:ascii="DejaVu Sans" w:hAnsi="DejaVu Sans" w:cs="DejaVu Sans" w:eastAsia="DejaVu Sans"/>
          <w:b w:val="0"/>
          <w:i w:val="0"/>
          <w:lang w:val="ar-MA" w:eastAsia="ar-MA" w:bidi="ar-MA"/>
          <w:rtl/>
        </w:rPr>
        <w:t>تجمع الأولويات أثر الأعمال وقابلية الاستغلال/الاحتمال ومدى منع المسألة لعناية واجبة مستقلة. تمنع عناصر P0 ادعاء الجاهزية للإنتاج؛ وتمنع P1 التوسع الآمن أو العمليات الموثوقة؛ وينبغي جدولة P2 بعد تأسيس الإنتاج.</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900"/>
        <w:gridCol w:w="1850"/>
        <w:gridCol w:w="3650"/>
        <w:gridCol w:w="2960"/>
      </w:tblGrid>
      <w:tr>
        <w:trPr>
          <w:tblHeader w:val="true"/>
          <w:cantSplit/>
        </w:trPr>
        <w:tc>
          <w:tcPr>
            <w:tcW w:type="dxa" w:w="9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6"/>
                <w:lang w:val="ar-MA" w:eastAsia="ar-MA" w:bidi="ar-MA"/>
                <w:rtl/>
              </w:rPr>
              <w:t>المعرف</w:t>
            </w:r>
          </w:p>
        </w:tc>
        <w:tc>
          <w:tcPr>
            <w:tcW w:type="dxa" w:w="18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6"/>
                <w:lang w:val="ar-MA" w:eastAsia="ar-MA" w:bidi="ar-MA"/>
                <w:rtl/>
              </w:rPr>
              <w:t>الخطر</w:t>
            </w:r>
          </w:p>
        </w:tc>
        <w:tc>
          <w:tcPr>
            <w:tcW w:type="dxa" w:w="365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6"/>
                <w:lang w:val="ar-MA" w:eastAsia="ar-MA" w:bidi="ar-MA"/>
                <w:rtl/>
              </w:rPr>
              <w:t>الدليل / الأثر</w:t>
            </w:r>
          </w:p>
        </w:tc>
        <w:tc>
          <w:tcPr>
            <w:tcW w:type="dxa" w:w="29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6"/>
                <w:lang w:val="ar-MA" w:eastAsia="ar-MA" w:bidi="ar-MA"/>
                <w:rtl/>
              </w:rPr>
              <w:t>الإجراء المطلوب</w:t>
            </w:r>
          </w:p>
        </w:tc>
      </w:tr>
      <w:tr>
        <w:trPr>
          <w:cantSplit/>
        </w:trPr>
        <w:tc>
          <w:tcPr>
            <w:tcW w:type="dxa" w:w="9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‎R1 • P0‎</w:t>
            </w:r>
          </w:p>
        </w:tc>
        <w:tc>
          <w:tcPr>
            <w:tcW w:type="dxa" w:w="18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حزمة مصدر غير قابلة لإعادة الإنتاج</w:t>
            </w:r>
          </w:p>
        </w:tc>
        <w:tc>
          <w:tcPr>
            <w:tcW w:type="dxa" w:w="36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يمنع غياب Turbo/قاعدة TS/البرامج النصية/Compose أدلة سليمة على البناء والاختبار والنشر والنسخ والاستعادة.</w:t>
            </w:r>
          </w:p>
        </w:tc>
        <w:tc>
          <w:tcPr>
            <w:tcW w:type="dxa" w:w="296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استعيدوا المستودع كاملاً؛ وCI بتشغيل نظيف؛ وتصديق إصدار موقع.</w:t>
            </w:r>
          </w:p>
        </w:tc>
      </w:tr>
      <w:tr>
        <w:trPr>
          <w:cantSplit/>
        </w:trPr>
        <w:tc>
          <w:tcPr>
            <w:tcW w:type="dxa" w:w="9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‎R2 • P0‎</w:t>
            </w:r>
          </w:p>
        </w:tc>
        <w:tc>
          <w:tcPr>
            <w:tcW w:type="dxa" w:w="18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ثغرات اعتماديات معروفة</w:t>
            </w:r>
          </w:p>
        </w:tc>
        <w:tc>
          <w:tcPr>
            <w:tcW w:type="dxa" w:w="36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تنشئ 21 نتيجة إنتاج، منها 1 حرجة و14 عالية، تعرضاً أمنياً وفورياً للعناية الواجبة.</w:t>
            </w:r>
          </w:p>
        </w:tc>
        <w:tc>
          <w:tcPr>
            <w:tcW w:type="dxa" w:w="296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أزيلوا الحزم غير المستخدمة؛ ورقوا/رقعوا؛ وافرضوا سياسة SCA في CI.</w:t>
            </w:r>
          </w:p>
        </w:tc>
      </w:tr>
      <w:tr>
        <w:trPr>
          <w:cantSplit/>
        </w:trPr>
        <w:tc>
          <w:tcPr>
            <w:tcW w:type="dxa" w:w="90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‎R3 • P0‎</w:t>
            </w:r>
          </w:p>
        </w:tc>
        <w:tc>
          <w:tcPr>
            <w:tcW w:type="dxa" w:w="18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خاصية حاوية ذات امتياز معطلة</w:t>
            </w:r>
          </w:p>
        </w:tc>
        <w:tc>
          <w:tcPr>
            <w:tcW w:type="dxa" w:w="365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تشير الواجهة/الخدمة إلى إدارة Docker لكل شركة، لكن النموذج/المسارات المطلوبة غائبة؛ ووصلة Docker عالية الامتياز.</w:t>
            </w:r>
          </w:p>
        </w:tc>
        <w:tc>
          <w:tcPr>
            <w:tcW w:type="dxa" w:w="2960"/>
            <w:shd w:fill="FDECEC"/>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عطلوا/أزيلوا؛ ولا تعيدوا البناء إلا كمستوى تحكم معزول إذا لزم.</w:t>
            </w:r>
          </w:p>
        </w:tc>
      </w:tr>
      <w:tr>
        <w:trPr>
          <w:cantSplit/>
        </w:trPr>
        <w:tc>
          <w:tcPr>
            <w:tcW w:type="dxa" w:w="9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‎R4 • P1‎</w:t>
            </w:r>
          </w:p>
        </w:tc>
        <w:tc>
          <w:tcPr>
            <w:tcW w:type="dxa" w:w="18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صندوق صادر الإشعارات غير موزع</w:t>
            </w:r>
          </w:p>
        </w:tc>
        <w:tc>
          <w:tcPr>
            <w:tcW w:type="dxa" w:w="36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قد لا تتحول النية الدائمة إلى تسليم مزود/فوري أبداً.</w:t>
            </w:r>
          </w:p>
        </w:tc>
        <w:tc>
          <w:tcPr>
            <w:tcW w:type="dxa" w:w="296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ابنوا العامل والإعادات وDLQ والرصد وموائمات المزودين.</w:t>
            </w:r>
          </w:p>
        </w:tc>
      </w:tr>
      <w:tr>
        <w:trPr>
          <w:cantSplit/>
        </w:trPr>
        <w:tc>
          <w:tcPr>
            <w:tcW w:type="dxa" w:w="9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‎R5 • P1‎</w:t>
            </w:r>
          </w:p>
        </w:tc>
        <w:tc>
          <w:tcPr>
            <w:tcW w:type="dxa" w:w="18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تنسيق محلي للعملية</w:t>
            </w:r>
          </w:p>
        </w:tc>
        <w:tc>
          <w:tcPr>
            <w:tcW w:type="dxa" w:w="36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تتباين حدود المعدل وعدم تكرار الحجز بين النسخ وتُعاد عند التشغيل.</w:t>
            </w:r>
          </w:p>
        </w:tc>
        <w:tc>
          <w:tcPr>
            <w:tcW w:type="dxa" w:w="296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مخازن Redis/قاعدة مشتركة بمفاتيح محددة وعمليات ذرية.</w:t>
            </w:r>
          </w:p>
        </w:tc>
      </w:tr>
      <w:tr>
        <w:trPr>
          <w:cantSplit/>
        </w:trPr>
        <w:tc>
          <w:tcPr>
            <w:tcW w:type="dxa" w:w="9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‎R6 • P1‎</w:t>
            </w:r>
          </w:p>
        </w:tc>
        <w:tc>
          <w:tcPr>
            <w:tcW w:type="dxa" w:w="18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جداول مضمنة</w:t>
            </w:r>
          </w:p>
        </w:tc>
        <w:tc>
          <w:tcPr>
            <w:tcW w:type="dxa" w:w="36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يمكن لكل نسخة API تشغيل مهام الرخصة/الاشتراك/التذكير/الصيانة.</w:t>
            </w:r>
          </w:p>
        </w:tc>
        <w:tc>
          <w:tcPr>
            <w:tcW w:type="dxa" w:w="296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مجدول/طابور خارجي أو إيجار قائد؛ أوامر غير مكررة.</w:t>
            </w:r>
          </w:p>
        </w:tc>
      </w:tr>
      <w:tr>
        <w:trPr>
          <w:cantSplit/>
        </w:trPr>
        <w:tc>
          <w:tcPr>
            <w:tcW w:type="dxa" w:w="9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‎R7 • P1‎</w:t>
            </w:r>
          </w:p>
        </w:tc>
        <w:tc>
          <w:tcPr>
            <w:tcW w:type="dxa" w:w="18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تخزين الملفات المحلي الدائم</w:t>
            </w:r>
          </w:p>
        </w:tc>
        <w:tc>
          <w:tcPr>
            <w:tcW w:type="dxa" w:w="36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عدم اتساق النسخ وفقد القرص وضعف ضبط دورة حياة الأدلة الحساسة.</w:t>
            </w:r>
          </w:p>
        </w:tc>
        <w:tc>
          <w:tcPr>
            <w:tcW w:type="dxa" w:w="296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تخزين كائنات ووصول خاص موقع وفحص وتشفير واحتفاظ.</w:t>
            </w:r>
          </w:p>
        </w:tc>
      </w:tr>
      <w:tr>
        <w:trPr>
          <w:cantSplit/>
        </w:trPr>
        <w:tc>
          <w:tcPr>
            <w:tcW w:type="dxa" w:w="9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‎R8 • P1‎</w:t>
            </w:r>
          </w:p>
        </w:tc>
        <w:tc>
          <w:tcPr>
            <w:tcW w:type="dxa" w:w="18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نقاط عمياء تشغيلية</w:t>
            </w:r>
          </w:p>
        </w:tc>
        <w:tc>
          <w:tcPr>
            <w:tcW w:type="dxa" w:w="36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لا جاهزية أو إيقاف سلس أو مقاييس أو تتبع أو SLO أو تنبيه أو اختبار تعافٍ متحقق منه.</w:t>
            </w:r>
          </w:p>
        </w:tc>
        <w:tc>
          <w:tcPr>
            <w:tcW w:type="dxa" w:w="296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قيسوا المسارات الحرجة وأثبتوا أدلة التشغيل في التجهيز.</w:t>
            </w:r>
          </w:p>
        </w:tc>
      </w:tr>
      <w:tr>
        <w:trPr>
          <w:cantSplit/>
        </w:trPr>
        <w:tc>
          <w:tcPr>
            <w:tcW w:type="dxa" w:w="9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‎R9 • P1‎</w:t>
            </w:r>
          </w:p>
        </w:tc>
        <w:tc>
          <w:tcPr>
            <w:tcW w:type="dxa" w:w="18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فجوة حوكمة البيانات الشخصية</w:t>
            </w:r>
          </w:p>
        </w:tc>
        <w:tc>
          <w:tcPr>
            <w:tcW w:type="dxa" w:w="36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تفتقر بيانات الهوية/الرخصة/العقد/الأضرار عالية المخاطر إلى تشفير وضوابط دورة حياة مثبتة.</w:t>
            </w:r>
          </w:p>
        </w:tc>
        <w:tc>
          <w:tcPr>
            <w:tcW w:type="dxa" w:w="296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خريطة البيانات والأساس القانوني والتشفير والاحتفاظ وDSAR وتدقيق الوصول.</w:t>
            </w:r>
          </w:p>
        </w:tc>
      </w:tr>
      <w:tr>
        <w:trPr>
          <w:cantSplit/>
        </w:trPr>
        <w:tc>
          <w:tcPr>
            <w:tcW w:type="dxa" w:w="90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‎R10 • P1‎</w:t>
            </w:r>
          </w:p>
        </w:tc>
        <w:tc>
          <w:tcPr>
            <w:tcW w:type="dxa" w:w="18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انحراف الاستحقاقات التجارية</w:t>
            </w:r>
          </w:p>
        </w:tc>
        <w:tc>
          <w:tcPr>
            <w:tcW w:type="dxa" w:w="365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يختلف كتالوج الصفحة الرئيسية عن الشفرة؛ ويمكن تحليل الحدود من تسميات العرض.</w:t>
            </w:r>
          </w:p>
        </w:tc>
        <w:tc>
          <w:tcPr>
            <w:tcW w:type="dxa" w:w="2960"/>
            <w:shd w:fill="FFF6D8"/>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كتالوج واحد ذو أنواع؛ واختبارات عقود؛ وترحيلات خطط مضبوطة.</w:t>
            </w:r>
          </w:p>
        </w:tc>
      </w:tr>
      <w:tr>
        <w:trPr>
          <w:cantSplit/>
        </w:trPr>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‎R11 • P2‎</w:t>
            </w:r>
          </w:p>
        </w:tc>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عقد API جزئي</w:t>
            </w:r>
          </w:p>
        </w:tc>
        <w:tc>
          <w:tcPr>
            <w:tcW w:type="dxa" w:w="3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يصف OpenAPI نحو 59% من معالجات وقت التشغيل؛ وقد تنحرف وثائق العميل والخارج.</w:t>
            </w:r>
          </w:p>
        </w:tc>
        <w:tc>
          <w:tcPr>
            <w:tcW w:type="dxa" w:w="2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مسارات/عملاء مشتقون من العقد وفحص اكتمال CI.</w:t>
            </w:r>
          </w:p>
        </w:tc>
      </w:tr>
      <w:tr>
        <w:trPr>
          <w:cantSplit/>
        </w:trPr>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‎R12 • P2‎</w:t>
            </w:r>
          </w:p>
        </w:tc>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تداخل المجالات القديمة</w:t>
            </w:r>
          </w:p>
        </w:tc>
        <w:tc>
          <w:tcPr>
            <w:tcW w:type="dxa" w:w="3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يعقد جيلان من الفوترة والإشعارات مصدر الحقيقة والاحتفاظ.</w:t>
            </w:r>
          </w:p>
        </w:tc>
        <w:tc>
          <w:tcPr>
            <w:tcW w:type="dxa" w:w="2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انشروا خريطة الترحيل؛ ووحدوا القراءات/الكتابات؛ وأرشفوا المسارات القديمة.</w:t>
            </w:r>
          </w:p>
        </w:tc>
      </w:tr>
      <w:tr>
        <w:trPr>
          <w:cantSplit/>
        </w:trPr>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‎R13 • P2‎</w:t>
            </w:r>
          </w:p>
        </w:tc>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تكرار الواجهة/النظام</w:t>
            </w:r>
          </w:p>
        </w:tc>
        <w:tc>
          <w:tcPr>
            <w:tcW w:type="dxa" w:w="3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تكرر أربعة تطبيقات الاعتماديات والعملاء والرموز والأنماط التشغيلية.</w:t>
            </w:r>
          </w:p>
        </w:tc>
        <w:tc>
          <w:tcPr>
            <w:tcW w:type="dxa" w:w="2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عميل مشترك ذو أنواع وأساسيات تصميم/إتاحة.</w:t>
            </w:r>
          </w:p>
        </w:tc>
      </w:tr>
      <w:tr>
        <w:trPr>
          <w:cantSplit/>
        </w:trPr>
        <w:tc>
          <w:tcPr>
            <w:tcW w:type="dxa" w:w="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‎R14 • P2‎</w:t>
            </w:r>
          </w:p>
        </w:tc>
        <w:tc>
          <w:tcPr>
            <w:tcW w:type="dxa" w:w="18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عدم استقرار مشغل الاختبارات</w:t>
            </w:r>
          </w:p>
        </w:tc>
        <w:tc>
          <w:tcPr>
            <w:tcW w:type="dxa" w:w="365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تبدأ الحزم وتنجح الحالات الظاهرة لكنها لا تكتمل حتمياً في بيئة المراجعة.</w:t>
            </w:r>
          </w:p>
        </w:tc>
        <w:tc>
          <w:tcPr>
            <w:tcW w:type="dxa" w:w="29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ثبتوا سلسلة الأدوات؛ واعثروا على المقابض المفتوحة؛ وافرضوا إكمال CI ضمن حد.</w:t>
            </w:r>
          </w:p>
        </w:tc>
      </w:tr>
    </w:tbl>
    <w:p>
      <w:pPr>
        <w:spacing w:after="20"/>
        <w:bidi/>
        <w:jc w:val="right"/>
      </w:pPr>
    </w:p>
    <w:p>
      <w:pPr>
        <w:pStyle w:val="Heading2"/>
        <w:bidi/>
        <w:jc w:val="right"/>
      </w:pPr>
      <w:r>
        <w:rPr>
          <w:rFonts w:ascii="DejaVu Sans" w:hAnsi="DejaVu Sans" w:cs="DejaVu Sans" w:eastAsia="DejaVu Sans"/>
          <w:lang w:val="ar-MA" w:eastAsia="ar-MA" w:bidi="ar-MA"/>
          <w:rtl/>
        </w:rPr>
        <w:t>ترابط المخاطر</w:t>
      </w:r>
    </w:p>
    <w:p>
      <w:pPr>
        <w:keepLines w:val="0"/>
        <w:bidi/>
        <w:jc w:val="right"/>
      </w:pPr>
      <w:r>
        <w:rPr>
          <w:rFonts w:ascii="DejaVu Sans" w:hAnsi="DejaVu Sans" w:cs="DejaVu Sans" w:eastAsia="DejaVu Sans"/>
          <w:b w:val="0"/>
          <w:i w:val="0"/>
          <w:lang w:val="ar-MA" w:eastAsia="ar-MA" w:bidi="ar-MA"/>
          <w:rtl/>
        </w:rPr>
        <w:t>عدة مخاطر مترابطة. إعادة إنتاج النشر شرط لاختبارات ذات معنى للأداء والأمن والاستعادة. ونقل التنسيق إلى Redis/الطوابير شرط للتوسع الأفقي الآمن. واستكمال عامل الإشعارات شرط لادعاءات تسليم صادقة. وتقارب الكتالوج التجاري شرط لفوترة وتحليلات استحقاقات موثوقة.</w:t>
      </w:r>
    </w:p>
    <w:p>
      <w:pPr>
        <w:pStyle w:val="Heading1"/>
        <w:bidi/>
        <w:jc w:val="right"/>
      </w:pPr>
      <w:r>
        <w:rPr>
          <w:rFonts w:ascii="DejaVu Sans" w:hAnsi="DejaVu Sans" w:cs="DejaVu Sans" w:eastAsia="DejaVu Sans"/>
          <w:lang w:val="ar-MA" w:eastAsia="ar-MA" w:bidi="ar-MA"/>
          <w:rtl/>
        </w:rPr>
        <w:t>16. خارطة طريق الجاهزية للإنتاج</w:t>
      </w:r>
    </w:p>
    <w:p>
      <w:pPr>
        <w:pStyle w:val="Heading2"/>
        <w:bidi/>
        <w:jc w:val="right"/>
      </w:pPr>
      <w:r>
        <w:rPr>
          <w:rFonts w:ascii="DejaVu Sans" w:hAnsi="DejaVu Sans" w:cs="DejaVu Sans" w:eastAsia="DejaVu Sans"/>
          <w:lang w:val="ar-MA" w:eastAsia="ar-MA" w:bidi="ar-MA"/>
          <w:rtl/>
        </w:rPr>
        <w:t>المرحلة 0 — استعادة الأدلة (الأيام 0–14)</w:t>
      </w:r>
    </w:p>
    <w:p>
      <w:pPr>
        <w:keepLines/>
        <w:numPr>
          <w:ilvl w:val="0"/>
          <w:numId w:val="10"/>
        </w:numPr>
        <w:spacing w:after="160" w:line="280" w:lineRule="auto"/>
        <w:bidi/>
        <w:jc w:val="right"/>
      </w:pPr>
      <w:r>
        <w:rPr>
          <w:rFonts w:ascii="DejaVu Sans" w:hAnsi="DejaVu Sans" w:cs="DejaVu Sans" w:eastAsia="DejaVu Sans"/>
          <w:lang w:val="ar-MA" w:eastAsia="ar-MA" w:bidi="ar-MA"/>
          <w:rtl/>
        </w:rPr>
        <w:t>استعيدوا المستودع المرجعي وكل آثار Turbo وTypeScript والبرامج النصية وCompose ونشر الترحيلات والنسخ الاحتياطي/الاستعادة وتهيئة الإدارة والفحص الأمني المشار إليها.</w:t>
      </w:r>
    </w:p>
    <w:p>
      <w:pPr>
        <w:keepLines/>
        <w:numPr>
          <w:ilvl w:val="0"/>
          <w:numId w:val="10"/>
        </w:numPr>
        <w:spacing w:after="160" w:line="280" w:lineRule="auto"/>
        <w:bidi/>
        <w:jc w:val="right"/>
      </w:pPr>
      <w:r>
        <w:rPr>
          <w:rFonts w:ascii="DejaVu Sans" w:hAnsi="DejaVu Sans" w:cs="DejaVu Sans" w:eastAsia="DejaVu Sans"/>
          <w:lang w:val="ar-MA" w:eastAsia="ar-MA" w:bidi="ar-MA"/>
          <w:rtl/>
        </w:rPr>
        <w:t>أنشئوا مشغل CI نظيفاً ومثبت الإصدارات ينفذ التثبيت والتوليد وlint وفحص الأنواع والاختبار والبناء وإنشاء الصور وترحيل قاعدة جديدة وتشغيل بيئة مؤقتة.</w:t>
      </w:r>
    </w:p>
    <w:p>
      <w:pPr>
        <w:keepLines/>
        <w:numPr>
          <w:ilvl w:val="0"/>
          <w:numId w:val="10"/>
        </w:numPr>
        <w:spacing w:after="160" w:line="280" w:lineRule="auto"/>
        <w:bidi/>
        <w:jc w:val="right"/>
      </w:pPr>
      <w:r>
        <w:rPr>
          <w:rFonts w:ascii="DejaVu Sans" w:hAnsi="DejaVu Sans" w:cs="DejaVu Sans" w:eastAsia="DejaVu Sans"/>
          <w:lang w:val="ar-MA" w:eastAsia="ar-MA" w:bidi="ar-MA"/>
          <w:rtl/>
        </w:rPr>
        <w:t>رقعوا أو أزيلوا الاعتماديات الضعيفة وغير المستخدمة؛ ووحدوا نطاقات النظائر لـReact/Next/الأدوات؛ وأعيدوا SCA للإنتاج وأنشئوا SBOM.</w:t>
      </w:r>
    </w:p>
    <w:p>
      <w:pPr>
        <w:keepLines/>
        <w:numPr>
          <w:ilvl w:val="0"/>
          <w:numId w:val="10"/>
        </w:numPr>
        <w:spacing w:after="160" w:line="280" w:lineRule="auto"/>
        <w:bidi/>
        <w:jc w:val="right"/>
      </w:pPr>
      <w:r>
        <w:rPr>
          <w:rFonts w:ascii="DejaVu Sans" w:hAnsi="DejaVu Sans" w:cs="DejaVu Sans" w:eastAsia="DejaVu Sans"/>
          <w:lang w:val="ar-MA" w:eastAsia="ar-MA" w:bidi="ar-MA"/>
          <w:rtl/>
        </w:rPr>
        <w:t>أزيلوا آثار البيئة والبناء والذاكرة المؤقتة من صادرات المصدر، ودوّروا أي بيانات اعتماد ربما أُرشفت.</w:t>
      </w:r>
    </w:p>
    <w:p>
      <w:pPr>
        <w:keepLines/>
        <w:numPr>
          <w:ilvl w:val="0"/>
          <w:numId w:val="10"/>
        </w:numPr>
        <w:spacing w:after="160" w:line="280" w:lineRule="auto"/>
        <w:bidi/>
        <w:jc w:val="right"/>
      </w:pPr>
      <w:r>
        <w:rPr>
          <w:rFonts w:ascii="DejaVu Sans" w:hAnsi="DejaVu Sans" w:cs="DejaVu Sans" w:eastAsia="DejaVu Sans"/>
          <w:lang w:val="ar-MA" w:eastAsia="ar-MA" w:bidi="ar-MA"/>
          <w:rtl/>
        </w:rPr>
        <w:t>عطلوا واجهة/خدمة إدارة الحاويات غير الوظيفية من نطاق الإنتاج.</w:t>
      </w:r>
    </w:p>
    <w:p>
      <w:pPr>
        <w:pStyle w:val="Heading3"/>
        <w:bidi/>
        <w:jc w:val="right"/>
      </w:pPr>
      <w:r>
        <w:rPr>
          <w:rFonts w:ascii="DejaVu Sans" w:hAnsi="DejaVu Sans" w:cs="DejaVu Sans" w:eastAsia="DejaVu Sans"/>
          <w:lang w:val="ar-MA" w:eastAsia="ar-MA" w:bidi="ar-MA"/>
          <w:rtl/>
        </w:rPr>
        <w:t>أدلة الخروج</w:t>
      </w:r>
    </w:p>
    <w:p>
      <w:pPr>
        <w:keepLines w:val="0"/>
        <w:bidi/>
        <w:jc w:val="right"/>
      </w:pPr>
      <w:r>
        <w:rPr>
          <w:rFonts w:ascii="DejaVu Sans" w:hAnsi="DejaVu Sans" w:cs="DejaVu Sans" w:eastAsia="DejaVu Sans"/>
          <w:b w:val="0"/>
          <w:i w:val="0"/>
          <w:lang w:val="ar-MA" w:eastAsia="ar-MA" w:bidi="ar-MA"/>
          <w:rtl/>
        </w:rPr>
        <w:t>ينتج التزام موقع وبناء ثابت جميع الآثار القابلة للنشر من مشغل نظيف؛ وتكتمل كل بوابات الفحص الساكن/الاختبار؛ وتجتاز سياسة ثغرات الإنتاج؛ وتكون بيئة اختبار الدخان المنشورة قابلة لإعادة الإنتاج.</w:t>
      </w:r>
    </w:p>
    <w:p>
      <w:pPr>
        <w:pStyle w:val="Heading2"/>
        <w:bidi/>
        <w:jc w:val="right"/>
      </w:pPr>
      <w:r>
        <w:rPr>
          <w:rFonts w:ascii="DejaVu Sans" w:hAnsi="DejaVu Sans" w:cs="DejaVu Sans" w:eastAsia="DejaVu Sans"/>
          <w:lang w:val="ar-MA" w:eastAsia="ar-MA" w:bidi="ar-MA"/>
          <w:rtl/>
        </w:rPr>
        <w:t>المرحلة 1 — الصحة والحالة المشتركة (الأيام 15–30)</w:t>
      </w:r>
    </w:p>
    <w:p>
      <w:pPr>
        <w:keepLines/>
        <w:numPr>
          <w:ilvl w:val="0"/>
          <w:numId w:val="10"/>
        </w:numPr>
        <w:spacing w:after="160" w:line="280" w:lineRule="auto"/>
        <w:bidi/>
        <w:jc w:val="right"/>
      </w:pPr>
      <w:r>
        <w:rPr>
          <w:rFonts w:ascii="DejaVu Sans" w:hAnsi="DejaVu Sans" w:cs="DejaVu Sans" w:eastAsia="DejaVu Sans"/>
          <w:lang w:val="ar-MA" w:eastAsia="ar-MA" w:bidi="ar-MA"/>
          <w:rtl/>
        </w:rPr>
        <w:t>نفذوا موزع إشعارات دائماً بعقود إيجار وإعادات وحالة رسائل ميتة وموائمات مزودين ونشر Redis/socket ومقاييس تسليم.</w:t>
      </w:r>
    </w:p>
    <w:p>
      <w:pPr>
        <w:keepLines/>
        <w:numPr>
          <w:ilvl w:val="0"/>
          <w:numId w:val="10"/>
        </w:numPr>
        <w:spacing w:after="160" w:line="280" w:lineRule="auto"/>
        <w:bidi/>
        <w:jc w:val="right"/>
      </w:pPr>
      <w:r>
        <w:rPr>
          <w:rFonts w:ascii="DejaVu Sans" w:hAnsi="DejaVu Sans" w:cs="DejaVu Sans" w:eastAsia="DejaVu Sans"/>
          <w:lang w:val="ar-MA" w:eastAsia="ar-MA" w:bidi="ar-MA"/>
          <w:rtl/>
        </w:rPr>
        <w:t>انقلوا تحديد المعدل وعدم تكرار الأوامر إلى Redis/PostgreSQL مشتركين؛ وحددوا دلالات عدم التكرار للحجز والدفع والاسترداد والأوامر المدفوعة بخطافات الويب.</w:t>
      </w:r>
    </w:p>
    <w:p>
      <w:pPr>
        <w:keepLines/>
        <w:numPr>
          <w:ilvl w:val="0"/>
          <w:numId w:val="10"/>
        </w:numPr>
        <w:spacing w:after="160" w:line="280" w:lineRule="auto"/>
        <w:bidi/>
        <w:jc w:val="right"/>
      </w:pPr>
      <w:r>
        <w:rPr>
          <w:rFonts w:ascii="DejaVu Sans" w:hAnsi="DejaVu Sans" w:cs="DejaVu Sans" w:eastAsia="DejaVu Sans"/>
          <w:lang w:val="ar-MA" w:eastAsia="ar-MA" w:bidi="ar-MA"/>
          <w:rtl/>
        </w:rPr>
        <w:t>انقلوا الجداول إلى مجدول/طابور خارجي أو أضيفوا عقود إيجار للقيادة؛ واجعلوا كل انتقال حالة مهمة غير مكرر.</w:t>
      </w:r>
    </w:p>
    <w:p>
      <w:pPr>
        <w:keepLines/>
        <w:numPr>
          <w:ilvl w:val="0"/>
          <w:numId w:val="10"/>
        </w:numPr>
        <w:spacing w:after="160" w:line="280" w:lineRule="auto"/>
        <w:bidi/>
        <w:jc w:val="right"/>
      </w:pPr>
      <w:r>
        <w:rPr>
          <w:rFonts w:ascii="DejaVu Sans" w:hAnsi="DejaVu Sans" w:cs="DejaVu Sans" w:eastAsia="DejaVu Sans"/>
          <w:lang w:val="ar-MA" w:eastAsia="ar-MA" w:bidi="ar-MA"/>
          <w:rtl/>
        </w:rPr>
        <w:t>استبدلوا الملفات الخاصة المحلية بتخزين كائنات ووصول موقع محدود وفحص برمجيات خبيثة/وسائط وتشفير وإصدارات وسياسات دورة حياة.</w:t>
      </w:r>
    </w:p>
    <w:p>
      <w:pPr>
        <w:keepLines/>
        <w:numPr>
          <w:ilvl w:val="0"/>
          <w:numId w:val="10"/>
        </w:numPr>
        <w:spacing w:after="160" w:line="280" w:lineRule="auto"/>
        <w:bidi/>
        <w:jc w:val="right"/>
      </w:pPr>
      <w:r>
        <w:rPr>
          <w:rFonts w:ascii="DejaVu Sans" w:hAnsi="DejaVu Sans" w:cs="DejaVu Sans" w:eastAsia="DejaVu Sans"/>
          <w:lang w:val="ar-MA" w:eastAsia="ar-MA" w:bidi="ar-MA"/>
          <w:rtl/>
        </w:rPr>
        <w:t>أضيفوا جاهزية قاعدة البيانات/Redis/التخزين وسلوك إيقاف/تفريغ سلساً.</w:t>
      </w:r>
    </w:p>
    <w:p>
      <w:pPr>
        <w:pStyle w:val="Heading3"/>
        <w:bidi/>
        <w:jc w:val="right"/>
      </w:pPr>
      <w:r>
        <w:rPr>
          <w:rFonts w:ascii="DejaVu Sans" w:hAnsi="DejaVu Sans" w:cs="DejaVu Sans" w:eastAsia="DejaVu Sans"/>
          <w:lang w:val="ar-MA" w:eastAsia="ar-MA" w:bidi="ar-MA"/>
          <w:rtl/>
        </w:rPr>
        <w:t>أدلة الخروج</w:t>
      </w:r>
    </w:p>
    <w:p>
      <w:pPr>
        <w:keepLines w:val="0"/>
        <w:bidi/>
        <w:jc w:val="right"/>
      </w:pPr>
      <w:r>
        <w:rPr>
          <w:rFonts w:ascii="DejaVu Sans" w:hAnsi="DejaVu Sans" w:cs="DejaVu Sans" w:eastAsia="DejaVu Sans"/>
          <w:b w:val="0"/>
          <w:i w:val="0"/>
          <w:lang w:val="ar-MA" w:eastAsia="ar-MA" w:bidi="ar-MA"/>
          <w:rtl/>
        </w:rPr>
        <w:t>تجتاز نسختان من API اختبارات التزامن وإعادة المحاولة والتحول عند الفشل والوصول إلى الملفات والمهام المجدولة وتسليم الإشعارات بلا تكرار أو حالة مفقودة.</w:t>
      </w:r>
    </w:p>
    <w:p>
      <w:pPr>
        <w:pStyle w:val="Heading2"/>
        <w:bidi/>
        <w:jc w:val="right"/>
      </w:pPr>
      <w:r>
        <w:rPr>
          <w:rFonts w:ascii="DejaVu Sans" w:hAnsi="DejaVu Sans" w:cs="DejaVu Sans" w:eastAsia="DejaVu Sans"/>
          <w:lang w:val="ar-MA" w:eastAsia="ar-MA" w:bidi="ar-MA"/>
          <w:rtl/>
        </w:rPr>
        <w:t>المرحلة 2 — التحكم التشغيلي (الأيام 31–60)</w:t>
      </w:r>
    </w:p>
    <w:p>
      <w:pPr>
        <w:keepLines/>
        <w:numPr>
          <w:ilvl w:val="0"/>
          <w:numId w:val="10"/>
        </w:numPr>
        <w:spacing w:after="160" w:line="280" w:lineRule="auto"/>
        <w:bidi/>
        <w:jc w:val="right"/>
      </w:pPr>
      <w:r>
        <w:rPr>
          <w:rFonts w:ascii="DejaVu Sans" w:hAnsi="DejaVu Sans" w:cs="DejaVu Sans" w:eastAsia="DejaVu Sans"/>
          <w:lang w:val="ar-MA" w:eastAsia="ar-MA" w:bidi="ar-MA"/>
          <w:rtl/>
        </w:rPr>
        <w:t>قيسوا سجلات منظمة وتتبعات ومقاييس خدمة/أعمال؛ وانشروا لوحات وتنبيهات لزمن الاستجابة والأخطاء والتشبع وتأخر خطافات الويب والمهام وصندوق الصادر ومطابقة المدفوعات.</w:t>
      </w:r>
    </w:p>
    <w:p>
      <w:pPr>
        <w:keepLines/>
        <w:numPr>
          <w:ilvl w:val="0"/>
          <w:numId w:val="10"/>
        </w:numPr>
        <w:spacing w:after="160" w:line="280" w:lineRule="auto"/>
        <w:bidi/>
        <w:jc w:val="right"/>
      </w:pPr>
      <w:r>
        <w:rPr>
          <w:rFonts w:ascii="DejaVu Sans" w:hAnsi="DejaVu Sans" w:cs="DejaVu Sans" w:eastAsia="DejaVu Sans"/>
          <w:lang w:val="ar-MA" w:eastAsia="ar-MA" w:bidi="ar-MA"/>
          <w:rtl/>
        </w:rPr>
        <w:t>حددوا SLO وميزانيات أخطاء للبحث وعرض السعر والحجز وتأكيد الدفع وعمليات المستأجر وتسليم الإشعارات.</w:t>
      </w:r>
    </w:p>
    <w:p>
      <w:pPr>
        <w:keepLines/>
        <w:numPr>
          <w:ilvl w:val="0"/>
          <w:numId w:val="10"/>
        </w:numPr>
        <w:spacing w:after="160" w:line="280" w:lineRule="auto"/>
        <w:bidi/>
        <w:jc w:val="right"/>
      </w:pPr>
      <w:r>
        <w:rPr>
          <w:rFonts w:ascii="DejaVu Sans" w:hAnsi="DejaVu Sans" w:cs="DejaVu Sans" w:eastAsia="DejaVu Sans"/>
          <w:lang w:val="ar-MA" w:eastAsia="ar-MA" w:bidi="ar-MA"/>
          <w:rtl/>
        </w:rPr>
        <w:t>أتمتوا نسخ PostgreSQL المشفرة/PITR وإصدارات الكائنات؛ ونفذوا وسجلوا استعادة كاملة مقابل RPO/RTO المعلنين.</w:t>
      </w:r>
    </w:p>
    <w:p>
      <w:pPr>
        <w:keepLines/>
        <w:numPr>
          <w:ilvl w:val="0"/>
          <w:numId w:val="10"/>
        </w:numPr>
        <w:spacing w:after="160" w:line="280" w:lineRule="auto"/>
        <w:bidi/>
        <w:jc w:val="right"/>
      </w:pPr>
      <w:r>
        <w:rPr>
          <w:rFonts w:ascii="DejaVu Sans" w:hAnsi="DejaVu Sans" w:cs="DejaVu Sans" w:eastAsia="DejaVu Sans"/>
          <w:lang w:val="ar-MA" w:eastAsia="ar-MA" w:bidi="ar-MA"/>
          <w:rtl/>
        </w:rPr>
        <w:t>اجعلوا عقد API مرجعياً وولدوا عملاء ذوي أنواع؛ وأغلقوا فجوات توثيق المسارات.</w:t>
      </w:r>
    </w:p>
    <w:p>
      <w:pPr>
        <w:keepLines/>
        <w:numPr>
          <w:ilvl w:val="0"/>
          <w:numId w:val="10"/>
        </w:numPr>
        <w:spacing w:after="160" w:line="280" w:lineRule="auto"/>
        <w:bidi/>
        <w:jc w:val="right"/>
      </w:pPr>
      <w:r>
        <w:rPr>
          <w:rFonts w:ascii="DejaVu Sans" w:hAnsi="DejaVu Sans" w:cs="DejaVu Sans" w:eastAsia="DejaVu Sans"/>
          <w:lang w:val="ar-MA" w:eastAsia="ar-MA" w:bidi="ar-MA"/>
          <w:rtl/>
        </w:rPr>
        <w:t>وحدوا نماذج الفوترة/الإشعارات القديمة وانشروا أدلة ترحيل/مطابقة البيانات.</w:t>
      </w:r>
    </w:p>
    <w:p>
      <w:pPr>
        <w:keepLines/>
        <w:numPr>
          <w:ilvl w:val="0"/>
          <w:numId w:val="10"/>
        </w:numPr>
        <w:spacing w:after="160" w:line="280" w:lineRule="auto"/>
        <w:bidi/>
        <w:jc w:val="right"/>
      </w:pPr>
      <w:r>
        <w:rPr>
          <w:rFonts w:ascii="DejaVu Sans" w:hAnsi="DejaVu Sans" w:cs="DejaVu Sans" w:eastAsia="DejaVu Sans"/>
          <w:lang w:val="ar-MA" w:eastAsia="ar-MA" w:bidi="ar-MA"/>
          <w:rtl/>
        </w:rPr>
        <w:t>أنشئوا خريطة بيانات للخصوصية وجداول احتفاظ وتدقيق وصول ذي امتياز وتدفقات لأصحاب البيانات.</w:t>
      </w:r>
    </w:p>
    <w:p>
      <w:pPr>
        <w:pStyle w:val="Heading3"/>
        <w:bidi/>
        <w:jc w:val="right"/>
      </w:pPr>
      <w:r>
        <w:rPr>
          <w:rFonts w:ascii="DejaVu Sans" w:hAnsi="DejaVu Sans" w:cs="DejaVu Sans" w:eastAsia="DejaVu Sans"/>
          <w:lang w:val="ar-MA" w:eastAsia="ar-MA" w:bidi="ar-MA"/>
          <w:rtl/>
        </w:rPr>
        <w:t>أدلة الخروج</w:t>
      </w:r>
    </w:p>
    <w:p>
      <w:pPr>
        <w:keepLines w:val="0"/>
        <w:bidi/>
        <w:jc w:val="right"/>
      </w:pPr>
      <w:r>
        <w:rPr>
          <w:rFonts w:ascii="DejaVu Sans" w:hAnsi="DejaVu Sans" w:cs="DejaVu Sans" w:eastAsia="DejaVu Sans"/>
          <w:b w:val="0"/>
          <w:i w:val="0"/>
          <w:lang w:val="ar-MA" w:eastAsia="ar-MA" w:bidi="ar-MA"/>
          <w:rtl/>
        </w:rPr>
        <w:t>يمكن كشف حادث في التجهيز وتتبعُه وتخفيفُه والتعافي منه عبر أدلة تشغيل موثقة؛ ويحقق تمرين استعادة ومطابقة مزود الأهداف المعتمدة.</w:t>
      </w:r>
    </w:p>
    <w:p>
      <w:pPr>
        <w:pStyle w:val="Heading2"/>
        <w:bidi/>
        <w:jc w:val="right"/>
      </w:pPr>
      <w:r>
        <w:rPr>
          <w:rFonts w:ascii="DejaVu Sans" w:hAnsi="DejaVu Sans" w:cs="DejaVu Sans" w:eastAsia="DejaVu Sans"/>
          <w:lang w:val="ar-MA" w:eastAsia="ar-MA" w:bidi="ar-MA"/>
          <w:rtl/>
        </w:rPr>
        <w:t>المرحلة 3 — التوسع والضمان (الأيام 61–90)</w:t>
      </w:r>
    </w:p>
    <w:p>
      <w:pPr>
        <w:keepLines/>
        <w:numPr>
          <w:ilvl w:val="0"/>
          <w:numId w:val="10"/>
        </w:numPr>
        <w:spacing w:after="160" w:line="280" w:lineRule="auto"/>
        <w:bidi/>
        <w:jc w:val="right"/>
      </w:pPr>
      <w:r>
        <w:rPr>
          <w:rFonts w:ascii="DejaVu Sans" w:hAnsi="DejaVu Sans" w:cs="DejaVu Sans" w:eastAsia="DejaVu Sans"/>
          <w:lang w:val="ar-MA" w:eastAsia="ar-MA" w:bidi="ar-MA"/>
          <w:rtl/>
        </w:rPr>
        <w:t>شغلوا اختبارات تمثيلية للحمل والتحمل والتزامن وحقن الفشل باستخدام بيانات منحازة للمستأجر ودفعات مزود/خطافات ويب.</w:t>
      </w:r>
    </w:p>
    <w:p>
      <w:pPr>
        <w:keepLines/>
        <w:numPr>
          <w:ilvl w:val="0"/>
          <w:numId w:val="10"/>
        </w:numPr>
        <w:spacing w:after="160" w:line="280" w:lineRule="auto"/>
        <w:bidi/>
        <w:jc w:val="right"/>
      </w:pPr>
      <w:r>
        <w:rPr>
          <w:rFonts w:ascii="DejaVu Sans" w:hAnsi="DejaVu Sans" w:cs="DejaVu Sans" w:eastAsia="DejaVu Sans"/>
          <w:lang w:val="ar-MA" w:eastAsia="ar-MA" w:bidi="ar-MA"/>
          <w:rtl/>
        </w:rPr>
        <w:t>أكملوا نمذجة تهديدات واختبار اختراق مستقلين؛ وأغلقوا النتائج الحرجة/العالية أو سجلوا قبولاً محدوداً زمنياً.</w:t>
      </w:r>
    </w:p>
    <w:p>
      <w:pPr>
        <w:keepLines/>
        <w:numPr>
          <w:ilvl w:val="0"/>
          <w:numId w:val="10"/>
        </w:numPr>
        <w:spacing w:after="160" w:line="280" w:lineRule="auto"/>
        <w:bidi/>
        <w:jc w:val="right"/>
      </w:pPr>
      <w:r>
        <w:rPr>
          <w:rFonts w:ascii="DejaVu Sans" w:hAnsi="DejaVu Sans" w:cs="DejaVu Sans" w:eastAsia="DejaVu Sans"/>
          <w:lang w:val="ar-MA" w:eastAsia="ar-MA" w:bidi="ar-MA"/>
          <w:rtl/>
        </w:rPr>
        <w:t>أضيفوا اختبارات سلبية عابرة للمستأجرين على مستوى المستودع وقيموا أمن الصفوف في قاعدة البيانات للدفاع متعدد الطبقات.</w:t>
      </w:r>
    </w:p>
    <w:p>
      <w:pPr>
        <w:keepLines/>
        <w:numPr>
          <w:ilvl w:val="0"/>
          <w:numId w:val="10"/>
        </w:numPr>
        <w:spacing w:after="160" w:line="280" w:lineRule="auto"/>
        <w:bidi/>
        <w:jc w:val="right"/>
      </w:pPr>
      <w:r>
        <w:rPr>
          <w:rFonts w:ascii="DejaVu Sans" w:hAnsi="DejaVu Sans" w:cs="DejaVu Sans" w:eastAsia="DejaVu Sans"/>
          <w:lang w:val="ar-MA" w:eastAsia="ar-MA" w:bidi="ar-MA"/>
          <w:rtl/>
        </w:rPr>
        <w:t>وحدوا كتالوجاً واحداً للخطط/الأسعار/الاستحقاقات عبر التسويق والدفع والإنفاذ والإدارة والفواتير.</w:t>
      </w:r>
    </w:p>
    <w:p>
      <w:pPr>
        <w:keepLines/>
        <w:numPr>
          <w:ilvl w:val="0"/>
          <w:numId w:val="10"/>
        </w:numPr>
        <w:spacing w:after="160" w:line="280" w:lineRule="auto"/>
        <w:bidi/>
        <w:jc w:val="right"/>
      </w:pPr>
      <w:r>
        <w:rPr>
          <w:rFonts w:ascii="DejaVu Sans" w:hAnsi="DejaVu Sans" w:cs="DejaVu Sans" w:eastAsia="DejaVu Sans"/>
          <w:lang w:val="ar-MA" w:eastAsia="ar-MA" w:bidi="ar-MA"/>
          <w:rtl/>
        </w:rPr>
        <w:t>اختبروا النشر التجريبي/التراجع وتوافق الترحيل وتدوير المفاتيح وانقطاع المزود وتراكم الطابور وفشل البنية الجزئي.</w:t>
      </w:r>
    </w:p>
    <w:p>
      <w:pPr>
        <w:pStyle w:val="Heading3"/>
        <w:bidi/>
        <w:jc w:val="right"/>
      </w:pPr>
      <w:r>
        <w:rPr>
          <w:rFonts w:ascii="DejaVu Sans" w:hAnsi="DejaVu Sans" w:cs="DejaVu Sans" w:eastAsia="DejaVu Sans"/>
          <w:lang w:val="ar-MA" w:eastAsia="ar-MA" w:bidi="ar-MA"/>
          <w:rtl/>
        </w:rPr>
        <w:t>أدلة الخروج</w:t>
      </w:r>
    </w:p>
    <w:p>
      <w:pPr>
        <w:keepLines w:val="0"/>
        <w:bidi/>
        <w:jc w:val="right"/>
      </w:pPr>
      <w:r>
        <w:rPr>
          <w:rFonts w:ascii="DejaVu Sans" w:hAnsi="DejaVu Sans" w:cs="DejaVu Sans" w:eastAsia="DejaVu Sans"/>
          <w:b w:val="0"/>
          <w:i w:val="0"/>
          <w:lang w:val="ar-MA" w:eastAsia="ar-MA" w:bidi="ar-MA"/>
          <w:rtl/>
        </w:rPr>
        <w:t>تحافظ المنصة على ملف حمل متفق عليه ضمن SLO، وتنجو من حالات الفشل المتوقعة بلا فساد للمستأجر/البيانات، ولا توجد نتائج أمنية حرجة/عالية غير محلولة.</w:t>
      </w:r>
    </w:p>
    <w:p>
      <w:pPr>
        <w:pStyle w:val="Heading2"/>
        <w:bidi/>
        <w:jc w:val="right"/>
      </w:pPr>
      <w:r>
        <w:rPr>
          <w:rFonts w:ascii="DejaVu Sans" w:hAnsi="DejaVu Sans" w:cs="DejaVu Sans" w:eastAsia="DejaVu Sans"/>
          <w:lang w:val="ar-MA" w:eastAsia="ar-MA" w:bidi="ar-MA"/>
          <w:rtl/>
        </w:rPr>
        <w:t>المرحلة 4 — التطور الانتقائي (الأشهر 3–6)</w:t>
      </w:r>
    </w:p>
    <w:p>
      <w:pPr>
        <w:keepLines w:val="0"/>
        <w:bidi/>
        <w:jc w:val="right"/>
      </w:pPr>
      <w:r>
        <w:rPr>
          <w:rFonts w:ascii="DejaVu Sans" w:hAnsi="DejaVu Sans" w:cs="DejaVu Sans" w:eastAsia="DejaVu Sans"/>
          <w:b w:val="0"/>
          <w:i w:val="0"/>
          <w:lang w:val="ar-MA" w:eastAsia="ar-MA" w:bidi="ar-MA"/>
          <w:rtl/>
        </w:rPr>
        <w:t>حافظوا على البنية الأحادية المعيارية ما لم تحدد الأدلة حداً. المدفوعات/خطافات الويب والإشعارات ومعالجة الوسائط هي أكثر عمليات الفصل الأولى منطقية، لأن لها مخاوف مستقلة في الإعادة والأمن والمزود والتوسع. أما فصل مجالات CRUD عامة فسيضيف عبئاً تشغيلياً بلا عائد واضح.</w:t>
      </w:r>
    </w:p>
    <w:p>
      <w:pPr>
        <w:pStyle w:val="Heading1"/>
        <w:bidi/>
        <w:jc w:val="right"/>
      </w:pPr>
      <w:r>
        <w:rPr>
          <w:rFonts w:ascii="DejaVu Sans" w:hAnsi="DejaVu Sans" w:cs="DejaVu Sans" w:eastAsia="DejaVu Sans"/>
          <w:lang w:val="ar-MA" w:eastAsia="ar-MA" w:bidi="ar-MA"/>
          <w:rtl/>
        </w:rPr>
        <w:t>17. انضباط الادعاءات الموجهة للمستثمر</w:t>
      </w:r>
    </w:p>
    <w:p>
      <w:pPr>
        <w:pStyle w:val="Heading2"/>
        <w:bidi/>
        <w:jc w:val="right"/>
      </w:pPr>
      <w:r>
        <w:rPr>
          <w:rFonts w:ascii="DejaVu Sans" w:hAnsi="DejaVu Sans" w:cs="DejaVu Sans" w:eastAsia="DejaVu Sans"/>
          <w:lang w:val="ar-MA" w:eastAsia="ar-MA" w:bidi="ar-MA"/>
          <w:rtl/>
        </w:rPr>
        <w:t>ادعاءات تدعمها الشفرة المراجعة</w:t>
      </w:r>
    </w:p>
    <w:p>
      <w:pPr>
        <w:keepLines/>
        <w:numPr>
          <w:ilvl w:val="0"/>
          <w:numId w:val="10"/>
        </w:numPr>
        <w:spacing w:after="160" w:line="280" w:lineRule="auto"/>
        <w:bidi/>
        <w:jc w:val="right"/>
      </w:pPr>
      <w:r>
        <w:rPr>
          <w:rFonts w:ascii="DejaVu Sans" w:hAnsi="DejaVu Sans" w:cs="DejaVu Sans" w:eastAsia="DejaVu Sans"/>
          <w:lang w:val="ar-MA" w:eastAsia="ar-MA" w:bidi="ar-MA"/>
          <w:rtl/>
        </w:rPr>
        <w:t>منصة متعددة المستأجرين لإدارة التأجير بسطوح منفصلة للتسويق والسوق والمستأجر والإدارة وAPI.</w:t>
      </w:r>
    </w:p>
    <w:p>
      <w:pPr>
        <w:keepLines/>
        <w:numPr>
          <w:ilvl w:val="0"/>
          <w:numId w:val="10"/>
        </w:numPr>
        <w:spacing w:after="160" w:line="280" w:lineRule="auto"/>
        <w:bidi/>
        <w:jc w:val="right"/>
      </w:pPr>
      <w:r>
        <w:rPr>
          <w:rFonts w:ascii="DejaVu Sans" w:hAnsi="DejaVu Sans" w:cs="DejaVu Sans" w:eastAsia="DejaVu Sans"/>
          <w:lang w:val="ar-MA" w:eastAsia="ar-MA" w:bidi="ar-MA"/>
          <w:rtl/>
        </w:rPr>
        <w:t>مجال تأجير واسع يغطي الأسطول والتسعير والحجوزات والعملاء والعقود/المستندات والتأمين والأضرار والمراجعات والشكاوى والفوترة والاشتراكات والإشعارات.</w:t>
      </w:r>
    </w:p>
    <w:p>
      <w:pPr>
        <w:keepLines/>
        <w:numPr>
          <w:ilvl w:val="0"/>
          <w:numId w:val="10"/>
        </w:numPr>
        <w:spacing w:after="160" w:line="280" w:lineRule="auto"/>
        <w:bidi/>
        <w:jc w:val="right"/>
      </w:pPr>
      <w:r>
        <w:rPr>
          <w:rFonts w:ascii="DejaVu Sans" w:hAnsi="DejaVu Sans" w:cs="DejaVu Sans" w:eastAsia="DejaVu Sans"/>
          <w:lang w:val="ar-MA" w:eastAsia="ar-MA" w:bidi="ar-MA"/>
          <w:rtl/>
        </w:rPr>
        <w:t>تجارب مستخدم بالإنجليزية والفرنسية والعربية مع نية تصميم RTL.</w:t>
      </w:r>
    </w:p>
    <w:p>
      <w:pPr>
        <w:keepLines/>
        <w:numPr>
          <w:ilvl w:val="0"/>
          <w:numId w:val="10"/>
        </w:numPr>
        <w:spacing w:after="160" w:line="280" w:lineRule="auto"/>
        <w:bidi/>
        <w:jc w:val="right"/>
      </w:pPr>
      <w:r>
        <w:rPr>
          <w:rFonts w:ascii="DejaVu Sans" w:hAnsi="DejaVu Sans" w:cs="DejaVu Sans" w:eastAsia="DejaVu Sans"/>
          <w:lang w:val="ar-MA" w:eastAsia="ar-MA" w:bidi="ar-MA"/>
          <w:rtl/>
        </w:rPr>
        <w:t>ضوابط وصول مدركة للأدوار والمستأجرين، ومصادقة ثنائية للإدارة، وحماية cookie-CSRF، ومسارات ملفات خاصة، وخطافات دفع موقعة.</w:t>
      </w:r>
    </w:p>
    <w:p>
      <w:pPr>
        <w:keepLines/>
        <w:numPr>
          <w:ilvl w:val="0"/>
          <w:numId w:val="10"/>
        </w:numPr>
        <w:spacing w:after="160" w:line="280" w:lineRule="auto"/>
        <w:bidi/>
        <w:jc w:val="right"/>
      </w:pPr>
      <w:r>
        <w:rPr>
          <w:rFonts w:ascii="DejaVu Sans" w:hAnsi="DejaVu Sans" w:cs="DejaVu Sans" w:eastAsia="DejaVu Sans"/>
          <w:lang w:val="ar-MA" w:eastAsia="ar-MA" w:bidi="ar-MA"/>
          <w:rtl/>
        </w:rPr>
        <w:t>شفرة تكامل Stripe وPayPal وAmanPay، مع Stripe كمسار دفع الاشتراك الحالي.</w:t>
      </w:r>
    </w:p>
    <w:p>
      <w:pPr>
        <w:keepLines/>
        <w:numPr>
          <w:ilvl w:val="0"/>
          <w:numId w:val="10"/>
        </w:numPr>
        <w:spacing w:after="160" w:line="280" w:lineRule="auto"/>
        <w:bidi/>
        <w:jc w:val="right"/>
      </w:pPr>
      <w:r>
        <w:rPr>
          <w:rFonts w:ascii="DejaVu Sans" w:hAnsi="DejaVu Sans" w:cs="DejaVu Sans" w:eastAsia="DejaVu Sans"/>
          <w:lang w:val="ar-MA" w:eastAsia="ar-MA" w:bidi="ar-MA"/>
          <w:rtl/>
        </w:rPr>
        <w:t>نموذج بيانات كبير بـPostgreSQL/Prisma يضم 67 نموذجاً و60 تعداداً و49 مجلد ترحيل.</w:t>
      </w:r>
    </w:p>
    <w:p>
      <w:pPr>
        <w:keepLines/>
        <w:numPr>
          <w:ilvl w:val="0"/>
          <w:numId w:val="10"/>
        </w:numPr>
        <w:spacing w:after="160" w:line="280" w:lineRule="auto"/>
        <w:bidi/>
        <w:jc w:val="right"/>
      </w:pPr>
      <w:r>
        <w:rPr>
          <w:rFonts w:ascii="DejaVu Sans" w:hAnsi="DejaVu Sans" w:cs="DejaVu Sans" w:eastAsia="DejaVu Sans"/>
          <w:lang w:val="ar-MA" w:eastAsia="ar-MA" w:bidi="ar-MA"/>
          <w:rtl/>
        </w:rPr>
        <w:t>مصدر اختبارات آلية ذو قيمة وهيكل API معياري.</w:t>
      </w:r>
    </w:p>
    <w:p>
      <w:pPr>
        <w:pStyle w:val="Heading2"/>
        <w:bidi/>
        <w:jc w:val="right"/>
      </w:pPr>
      <w:r>
        <w:rPr>
          <w:rFonts w:ascii="DejaVu Sans" w:hAnsi="DejaVu Sans" w:cs="DejaVu Sans" w:eastAsia="DejaVu Sans"/>
          <w:lang w:val="ar-MA" w:eastAsia="ar-MA" w:bidi="ar-MA"/>
          <w:rtl/>
        </w:rPr>
        <w:t>ادعاءات لا يمكن دعمها من دون أدلة إضافية</w:t>
      </w:r>
    </w:p>
    <w:p>
      <w:pPr>
        <w:keepLines/>
        <w:numPr>
          <w:ilvl w:val="0"/>
          <w:numId w:val="10"/>
        </w:numPr>
        <w:spacing w:after="160" w:line="280" w:lineRule="auto"/>
        <w:bidi/>
        <w:jc w:val="right"/>
      </w:pPr>
      <w:r>
        <w:rPr>
          <w:rFonts w:ascii="DejaVu Sans" w:hAnsi="DejaVu Sans" w:cs="DejaVu Sans" w:eastAsia="DejaVu Sans"/>
          <w:lang w:val="ar-MA" w:eastAsia="ar-MA" w:bidi="ar-MA"/>
          <w:rtl/>
        </w:rPr>
        <w:t>جاهز للإنتاج، عالي التوافر، قابل للتوسع أفقياً، بلا توقف، أو مختبر للتعافي من الكوارث.</w:t>
      </w:r>
    </w:p>
    <w:p>
      <w:pPr>
        <w:keepLines/>
        <w:numPr>
          <w:ilvl w:val="0"/>
          <w:numId w:val="10"/>
        </w:numPr>
        <w:spacing w:after="160" w:line="280" w:lineRule="auto"/>
        <w:bidi/>
        <w:jc w:val="right"/>
      </w:pPr>
      <w:r>
        <w:rPr>
          <w:rFonts w:ascii="DejaVu Sans" w:hAnsi="DejaVu Sans" w:cs="DejaVu Sans" w:eastAsia="DejaVu Sans"/>
          <w:lang w:val="ar-MA" w:eastAsia="ar-MA" w:bidi="ar-MA"/>
          <w:rtl/>
        </w:rPr>
        <w:t>CI ناجح أو قابل للنشر بصورة قابلة لإعادة الإنتاج من الحزمة المقدمة.</w:t>
      </w:r>
    </w:p>
    <w:p>
      <w:pPr>
        <w:keepLines/>
        <w:numPr>
          <w:ilvl w:val="0"/>
          <w:numId w:val="10"/>
        </w:numPr>
        <w:spacing w:after="160" w:line="280" w:lineRule="auto"/>
        <w:bidi/>
        <w:jc w:val="right"/>
      </w:pPr>
      <w:r>
        <w:rPr>
          <w:rFonts w:ascii="DejaVu Sans" w:hAnsi="DejaVu Sans" w:cs="DejaVu Sans" w:eastAsia="DejaVu Sans"/>
          <w:lang w:val="ar-MA" w:eastAsia="ar-MA" w:bidi="ar-MA"/>
          <w:rtl/>
        </w:rPr>
        <w:t>تغطية OpenAPI كاملة أو عقد API خارجي مستقر.</w:t>
      </w:r>
    </w:p>
    <w:p>
      <w:pPr>
        <w:keepLines/>
        <w:numPr>
          <w:ilvl w:val="0"/>
          <w:numId w:val="10"/>
        </w:numPr>
        <w:spacing w:after="160" w:line="280" w:lineRule="auto"/>
        <w:bidi/>
        <w:jc w:val="right"/>
      </w:pPr>
      <w:r>
        <w:rPr>
          <w:rFonts w:ascii="DejaVu Sans" w:hAnsi="DejaVu Sans" w:cs="DejaVu Sans" w:eastAsia="DejaVu Sans"/>
          <w:lang w:val="ar-MA" w:eastAsia="ar-MA" w:bidi="ar-MA"/>
          <w:rtl/>
        </w:rPr>
        <w:t>ضمان تسليم الإشعارات عبر البريد أو الدفع أو SMS أو الوقت الحقيقي من خلال صندوق الصادر المنمذج.</w:t>
      </w:r>
    </w:p>
    <w:p>
      <w:pPr>
        <w:keepLines/>
        <w:numPr>
          <w:ilvl w:val="0"/>
          <w:numId w:val="10"/>
        </w:numPr>
        <w:spacing w:after="160" w:line="280" w:lineRule="auto"/>
        <w:bidi/>
        <w:jc w:val="right"/>
      </w:pPr>
      <w:r>
        <w:rPr>
          <w:rFonts w:ascii="DejaVu Sans" w:hAnsi="DejaVu Sans" w:cs="DejaVu Sans" w:eastAsia="DejaVu Sans"/>
          <w:lang w:val="ar-MA" w:eastAsia="ar-MA" w:bidi="ar-MA"/>
          <w:rtl/>
        </w:rPr>
        <w:t>عزل الحاويات لكل مستأجر أو تنسيق حاويات مستأجرين يعمل فعلياً.</w:t>
      </w:r>
    </w:p>
    <w:p>
      <w:pPr>
        <w:keepLines/>
        <w:numPr>
          <w:ilvl w:val="0"/>
          <w:numId w:val="10"/>
        </w:numPr>
        <w:spacing w:after="160" w:line="280" w:lineRule="auto"/>
        <w:bidi/>
        <w:jc w:val="right"/>
      </w:pPr>
      <w:r>
        <w:rPr>
          <w:rFonts w:ascii="DejaVu Sans" w:hAnsi="DejaVu Sans" w:cs="DejaVu Sans" w:eastAsia="DejaVu Sans"/>
          <w:lang w:val="ar-MA" w:eastAsia="ar-MA" w:bidi="ar-MA"/>
          <w:rtl/>
        </w:rPr>
        <w:t>KYC أو التحقق من الهوية أو التحقق من أصالة رخصة القيادة.</w:t>
      </w:r>
    </w:p>
    <w:p>
      <w:pPr>
        <w:keepLines/>
        <w:numPr>
          <w:ilvl w:val="0"/>
          <w:numId w:val="10"/>
        </w:numPr>
        <w:spacing w:after="160" w:line="280" w:lineRule="auto"/>
        <w:bidi/>
        <w:jc w:val="right"/>
      </w:pPr>
      <w:r>
        <w:rPr>
          <w:rFonts w:ascii="DejaVu Sans" w:hAnsi="DejaVu Sans" w:cs="DejaVu Sans" w:eastAsia="DejaVu Sans"/>
          <w:lang w:val="ar-MA" w:eastAsia="ar-MA" w:bidi="ar-MA"/>
          <w:rtl/>
        </w:rPr>
        <w:t>امتثال شامل للخصوصية أو تشفير الحقول أو أتمتة الاحتفاظ بالبيانات أو وضع أمني معتمد.</w:t>
      </w:r>
    </w:p>
    <w:p>
      <w:pPr>
        <w:keepLines/>
        <w:numPr>
          <w:ilvl w:val="0"/>
          <w:numId w:val="10"/>
        </w:numPr>
        <w:spacing w:after="160" w:line="280" w:lineRule="auto"/>
        <w:bidi/>
        <w:jc w:val="right"/>
      </w:pPr>
      <w:r>
        <w:rPr>
          <w:rFonts w:ascii="DejaVu Sans" w:hAnsi="DejaVu Sans" w:cs="DejaVu Sans" w:eastAsia="DejaVu Sans"/>
          <w:lang w:val="ar-MA" w:eastAsia="ar-MA" w:bidi="ar-MA"/>
          <w:rtl/>
        </w:rPr>
        <w:t>اعتماد إنتاج لدى مزود الدفع أو دقة المطابقة أو نطاق PCI من دون أدلة خارجية.</w:t>
      </w:r>
    </w:p>
    <w:p>
      <w:pPr>
        <w:pStyle w:val="Heading2"/>
        <w:bidi/>
        <w:jc w:val="right"/>
      </w:pPr>
      <w:r>
        <w:rPr>
          <w:rFonts w:ascii="DejaVu Sans" w:hAnsi="DejaVu Sans" w:cs="DejaVu Sans" w:eastAsia="DejaVu Sans"/>
          <w:lang w:val="ar-MA" w:eastAsia="ar-MA" w:bidi="ar-MA"/>
          <w:rtl/>
        </w:rPr>
        <w:t>قائمة طلبات العناية الواجبة التقنية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500"/>
        <w:gridCol w:w="786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المجال</w:t>
            </w:r>
          </w:p>
        </w:tc>
        <w:tc>
          <w:tcPr>
            <w:tcW w:type="dxa" w:w="78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الأدلة المطلوب طلبها</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المستودع</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مستودع Git المرجعي وتاريخ كامل وحماية الفروع وCODEOWNERS ووسم الإصدار الحالي وسياسة تحديث الاعتماديات.</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التسليم</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تعريفات CI/CD وسجل صور ثابتة وSBOM/توقيع/مصدر وبيانات نشر وأدلة تراجع.</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الإنتاج</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البنية/الطوبولوجيا وجرد السحابة وتدفقات الشبكة/البيانات والحركة وعدد المستأجرين وحجم الأسطول/الحجوزات وخطة السعة.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الموثوقية</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SLO ولوحات وتنبيهات وسجل الحوادث وتحليلات ما بعد الحادث والمناوبة واختبارات النسخ/الاستعادة وRPO/RTO.</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الأمن</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نموذج التهديد ونتائج اختبار الاختراق/SAST/SCA وتصميم الأسرار/KMS وSLA الثغرات ومراجعات الوصول وتغطية سجل التدقيق.</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الخصوصية</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جرد البيانات والاحتفاظ/الحذف والأساس القانوني/الموافقة وقائمة المعالجين ومواقع البيانات وDSAR وإجراءات الاختراق.</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المالية</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عقود المزودين ونطاق PCI وتقارير المطابقة وضوابط الاسترداد والمنطق الضريبي ومصدر حقيقة الكتالوج/الاستحقاقات.</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الجودة</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تشغيلات CI حديثة واتجاه الاختبار/التغطية وقائمة الاختبارات المتذبذبة ونتائج الأداء/الحمل ومصفوفة المتصفحات/أوقات التشغيل المدعومة.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خارطة الطريق</w:t>
            </w:r>
          </w:p>
        </w:tc>
        <w:tc>
          <w:tcPr>
            <w:tcW w:type="dxa" w:w="78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مالكون مسمون وميزانية وتواريخ وأدلة خروج لكل عنصر P0/P1 في هذا التقرير.</w:t>
            </w:r>
          </w:p>
        </w:tc>
      </w:tr>
    </w:tbl>
    <w:p>
      <w:pPr>
        <w:spacing w:after="20"/>
        <w:bidi/>
        <w:jc w:val="right"/>
      </w:pPr>
    </w:p>
    <w:p>
      <w:pPr>
        <w:pStyle w:val="Heading2"/>
        <w:bidi/>
        <w:jc w:val="right"/>
      </w:pPr>
      <w:r>
        <w:rPr>
          <w:rFonts w:ascii="DejaVu Sans" w:hAnsi="DejaVu Sans" w:cs="DejaVu Sans" w:eastAsia="DejaVu Sans"/>
          <w:lang w:val="ar-MA" w:eastAsia="ar-MA" w:bidi="ar-MA"/>
          <w:rtl/>
        </w:rPr>
        <w:t>الصلة بالتقييم</w:t>
      </w:r>
    </w:p>
    <w:p>
      <w:pPr>
        <w:keepLines w:val="0"/>
        <w:bidi/>
        <w:jc w:val="right"/>
      </w:pPr>
      <w:r>
        <w:rPr>
          <w:rFonts w:ascii="DejaVu Sans" w:hAnsi="DejaVu Sans" w:cs="DejaVu Sans" w:eastAsia="DejaVu Sans"/>
          <w:b w:val="0"/>
          <w:i w:val="0"/>
          <w:lang w:val="ar-MA" w:eastAsia="ar-MA" w:bidi="ar-MA"/>
          <w:rtl/>
        </w:rPr>
        <w:t>تقلل قاعدة الشفرة مخاطر اكتشاف المنتج ونموذج المجال: فكم كبير من أعمال سير العمل والمخطط موجود بالفعل. لكنها لا تلغي مخاطر التنفيذ. تعتمد القيمة القريبة على قدرة الفريق على تحويل النظام الحالي إلى أصل إنتاج قابل لإعادة الإنتاج، وإثبات صحته عند الحدود التجارية وحدود المستأجرين، وتشغيله بموثوقية مقاسة. وينبغي ربط رأس المال بمحطات تنتج أدلة لا بمحطات تعد الخصائص.</w:t>
      </w:r>
    </w:p>
    <w:p>
      <w:pPr>
        <w:keepLines/>
        <w:spacing w:before="100" w:after="200"/>
        <w:ind w:left="173" w:right="115"/>
        <w:shd w:fill="EAF5EF"/>
        <w:pBdr>
          <w:left w:val="single" w:sz="20" w:space="8" w:color="1F5E46"/>
        </w:pBdr>
        <w:bidi/>
        <w:jc w:val="right"/>
      </w:pPr>
      <w:r>
        <w:rPr>
          <w:rFonts w:ascii="DejaVu Sans" w:hAnsi="DejaVu Sans" w:cs="DejaVu Sans" w:eastAsia="DejaVu Sans"/>
          <w:b/>
          <w:color w:val="1F5E46"/>
          <w:lang w:val="ar-MA" w:eastAsia="ar-MA" w:bidi="ar-MA"/>
          <w:rtl/>
        </w:rPr>
        <w:t xml:space="preserve">أطروحة الاستثمار في جملة واحدة  </w:t>
      </w:r>
      <w:r>
        <w:rPr>
          <w:rFonts w:ascii="DejaVu Sans" w:hAnsi="DejaVu Sans" w:cs="DejaVu Sans" w:eastAsia="DejaVu Sans"/>
          <w:color w:val="101828"/>
          <w:lang w:val="ar-MA" w:eastAsia="ar-MA" w:bidi="ar-MA"/>
          <w:rtl/>
        </w:rPr>
        <w:t>يمتلك RentalDriveGo جوهراً منتجياً موثوقاً وبنية أساسية مناسبة، لكن الخطوة التالية القابلة للاستثمار هي التحصين التشغيلي والإثبات، لا إعادة اختراع البنية أو توسيع السطح أكثر.</w:t>
      </w:r>
    </w:p>
    <w:p>
      <w:pPr>
        <w:bidi/>
        <w:jc w:val="right"/>
      </w:pPr>
      <w:r>
        <w:rPr>
          <w:lang w:val="en-US" w:eastAsia="en-US" w:bidi="en-US"/>
        </w:rPr>
        <w:br w:type="page"/>
      </w:r>
    </w:p>
    <w:p>
      <w:pPr>
        <w:pStyle w:val="Heading1"/>
        <w:bidi/>
        <w:jc w:val="right"/>
      </w:pPr>
      <w:r>
        <w:rPr>
          <w:rFonts w:ascii="DejaVu Sans" w:hAnsi="DejaVu Sans" w:cs="DejaVu Sans" w:eastAsia="DejaVu Sans"/>
          <w:lang w:val="ar-MA" w:eastAsia="ar-MA" w:bidi="ar-MA"/>
          <w:rtl/>
        </w:rPr>
        <w:t>الملحق أ — الحزمة التقنية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500"/>
        <w:gridCol w:w="2600"/>
        <w:gridCol w:w="5260"/>
      </w:tblGrid>
      <w:tr>
        <w:trPr>
          <w:tblHeader w:val="true"/>
          <w:cantSplit/>
        </w:trPr>
        <w:tc>
          <w:tcPr>
            <w:tcW w:type="dxa" w:w="15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الطبقة</w:t>
            </w:r>
          </w:p>
        </w:tc>
        <w:tc>
          <w:tcPr>
            <w:tcW w:type="dxa" w:w="26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التقنية</w:t>
            </w:r>
          </w:p>
        </w:tc>
        <w:tc>
          <w:tcPr>
            <w:tcW w:type="dxa" w:w="52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الدور / الملاحظة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اللغة</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‎TypeScript‎</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اللغة الرئيسية للتطبيقات وAPI</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إطار الويب</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‎Next.js 16.2.9‎</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أربعة تطبيقات واجهة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وقت تشغيل الواجهة</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واجهات React 19.2</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تعلن API أيضاً React 18 لمسار عرض PDF</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الخلفية</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‎Express 4.19.2‎</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API REST معيارية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التحقق</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‎Zod 3.23 / homepage Zod 4.4‎</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التحقق من الطلب والإعداد؛ تباين الإصدارات</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قاعدة البيانات</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‎PostgreSQL + Prisma 5.13‎</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نظام سجل علائقي وترحيلات</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الوقت الحقيقي/الذاكرة المؤقتة</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‎Socket.IO 4.7 + ioredis 5.3‎</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التسليم الفوري ونشر/اشتراك Redis</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الجدولة</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‎node-cron 4.5‎</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مهام مضمنة للرخصة/الاشتراك/التذكير/الصيانة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المدفوعات</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‎Stripe 22, PayPal REST, AmanPay HMAC‎</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الدفع/الاسترداد/خطافات الويب؛ دفع الاشتراك حالياً عبر Stripe</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البريد الإلكتروني</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‎Resend 3.2 + Nodemailer 9‎</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إرسال معاملاتي مباشر أساسي/احتياطي</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الملفات</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Multer + نظام ملفات محلي</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مسارات رفع عامة/خاصة متحقق منها</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‎PDF‎</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‎@react-pdf/renderer 3.4‎</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توليد مستندات العقود والفواتير</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‎CSS‎</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‎CSS Modules + Tailwind 3.4‎</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مناهج تنسيق واجهة منقسمة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المخططات/الأيقونات</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‎Recharts 2.12 + lucide-react 0.376‎</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تصورات وأيقونات لوحة المعلومات/الإدارة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الاختبارات</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‎Vitest 2.1, Testing Library, Playwright, axe‎</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نية اختبار الوحدات/التكامل/المتصفح/الإتاحة</w:t>
            </w:r>
          </w:p>
        </w:tc>
      </w:tr>
      <w:tr>
        <w:trPr>
          <w:cantSplit/>
        </w:trPr>
        <w:tc>
          <w:tcPr>
            <w:tcW w:type="dxa" w:w="15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البناء</w:t>
            </w:r>
          </w:p>
        </w:tc>
        <w:tc>
          <w:tcPr>
            <w:tcW w:type="dxa" w:w="2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‎npm workspaces + Turbo 2.10‎</w:t>
            </w:r>
          </w:p>
        </w:tc>
        <w:tc>
          <w:tcPr>
            <w:tcW w:type="dxa" w:w="52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تنسيق الجذر غير مكتمل في الأرشيف المقدم</w:t>
            </w:r>
          </w:p>
        </w:tc>
      </w:tr>
    </w:tbl>
    <w:p>
      <w:pPr>
        <w:spacing w:after="20"/>
        <w:bidi/>
        <w:jc w:val="right"/>
      </w:pPr>
    </w:p>
    <w:p>
      <w:pPr>
        <w:pStyle w:val="Heading1"/>
        <w:bidi/>
        <w:jc w:val="right"/>
      </w:pPr>
      <w:r>
        <w:rPr>
          <w:rFonts w:ascii="DejaVu Sans" w:hAnsi="DejaVu Sans" w:cs="DejaVu Sans" w:eastAsia="DejaVu Sans"/>
          <w:lang w:val="ar-MA" w:eastAsia="ar-MA" w:bidi="ar-MA"/>
          <w:rtl/>
        </w:rPr>
        <w:t>الملحق ب — الفهرس الكامل لنماذج قاعدة البيانات</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900"/>
        <w:gridCol w:w="7460"/>
      </w:tblGrid>
      <w:tr>
        <w:trPr>
          <w:tblHeader w:val="true"/>
          <w:cantSplit/>
        </w:trPr>
        <w:tc>
          <w:tcPr>
            <w:tcW w:type="dxa" w:w="19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المجال</w:t>
            </w:r>
          </w:p>
        </w:tc>
        <w:tc>
          <w:tcPr>
            <w:tcW w:type="dxa" w:w="74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نماذج Prisma</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المستأجر والوصول</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‎Company, CompanyApiKey, BrandSettings, Employee‎</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دورة حياة الاشتراك</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‎Subscription, SubscriptionEvent, SubscriptionInvoice, PaymentAttempt‎</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الفوترة</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‎BillingAccount, BillingPaymentMethod, BillingInvoice, BillingInvoiceLineItem, BillingPaymentIntent, BillingPaymentAttempt, BillingCreditBalance, BillingCreditLedgerEntry, BillingCreditNote, BillingRefund, BillingTaxRecord, BillingEvent‎</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الأسطول والتسعير</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‎Vehicle, VehiclePricingConfiguration, VehiclePricingRule, VehiclePriceHistory, MaintenanceLog, VehicleCalendarBlock, PricingRule‎</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العروض والسوق</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‎Offer, OfferVehicle, Renter, RenterSavedCompany, CarplaceFunnelEvent‎</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العملاء والحجوزات</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‎Customer, Reservation, ReservationPublicAccess, AdditionalDriver, ReservationPhoto‎</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المدفوعات وخطافات الويب</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‎WebhookEvent, RentalPayment‎</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التأمين والأضرار</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‎InsurancePolicy, ReservationInsurance, DamageReport, DamageInspection, DamagePoint‎</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المراجعات والدعم</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‎Review, Complaint‎</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الإشعارات</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‎Notification, NotificationEvent, NotificationRecipient, NotificationDelivery, NotificationOutbox, NotificationTemplate, NotificationPreference, CompanyNotificationPreference‎</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العقود/المحاسبة</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‎ContractSettings, AccountingSettings‎</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إدارة المنصة</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7"/>
                <w:lang w:val="en-US" w:eastAsia="en-US" w:bidi="en-US"/>
              </w:rPr>
              <w:t>‎AdminUser, AdminPermission, AdminRecoveryCode, AuditLog, PricingConfig, PlanFeature, MenuItem, SubscriptionMenuItem, CompanyMenuItem, MenuItemRoleVisibility, PricingPromotion‎</w:t>
            </w:r>
          </w:p>
        </w:tc>
      </w:tr>
    </w:tbl>
    <w:p>
      <w:pPr>
        <w:spacing w:after="20"/>
        <w:bidi/>
        <w:jc w:val="right"/>
      </w:pPr>
    </w:p>
    <w:p>
      <w:pPr>
        <w:keepLines w:val="0"/>
        <w:bidi/>
        <w:jc w:val="right"/>
      </w:pPr>
      <w:r>
        <w:rPr>
          <w:rFonts w:ascii="DejaVu Sans" w:hAnsi="DejaVu Sans" w:cs="DejaVu Sans" w:eastAsia="DejaVu Sans"/>
          <w:b w:val="0"/>
          <w:i/>
          <w:color w:val="667085"/>
          <w:sz w:val="18"/>
          <w:lang w:val="ar-MA" w:eastAsia="ar-MA" w:bidi="ar-MA"/>
          <w:rtl/>
        </w:rPr>
        <w:t>العدد: 67 نموذجاً. يحدد المخطط أيضاً 60 تعداداً للأدوار والحالات والخطط والمدفوعات والتسليم والحالة التشغيلية والإعدادات.</w:t>
      </w:r>
    </w:p>
    <w:p>
      <w:pPr>
        <w:bidi/>
        <w:jc w:val="right"/>
      </w:pPr>
      <w:r>
        <w:rPr>
          <w:lang w:val="en-US" w:eastAsia="en-US" w:bidi="en-US"/>
        </w:rPr>
        <w:br w:type="page"/>
      </w:r>
    </w:p>
    <w:p>
      <w:pPr>
        <w:pStyle w:val="Heading1"/>
        <w:bidi/>
        <w:jc w:val="right"/>
      </w:pPr>
      <w:r>
        <w:rPr>
          <w:rFonts w:ascii="DejaVu Sans" w:hAnsi="DejaVu Sans" w:cs="DejaVu Sans" w:eastAsia="DejaVu Sans"/>
          <w:lang w:val="ar-MA" w:eastAsia="ar-MA" w:bidi="ar-MA"/>
          <w:rtl/>
        </w:rPr>
        <w:t>الملحق ج — جرد عائلات مسارات API</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6600"/>
        <w:gridCol w:w="2760"/>
      </w:tblGrid>
      <w:tr>
        <w:trPr>
          <w:tblHeader w:val="true"/>
          <w:cantSplit/>
        </w:trPr>
        <w:tc>
          <w:tcPr>
            <w:tcW w:type="dxa" w:w="66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عائلة المسارات</w:t>
            </w:r>
          </w:p>
        </w:tc>
        <w:tc>
          <w:tcPr>
            <w:tcW w:type="dxa" w:w="27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8"/>
                <w:lang w:val="ar-MA" w:eastAsia="ar-MA" w:bidi="ar-MA"/>
                <w:rtl/>
              </w:rPr>
              <w:t>معالجات وقت التشغيل</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‎admin‎</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‎70‎</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‎analytics‎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‎4‎</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‎auth/account‎</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‎auth/company‎</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‎3‎</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‎auth/employee‎</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‎9‎</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‎auth/renter‎</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‎5‎</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‎auth/unified‎</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‎billing‎</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‎4‎</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‎carplace‎</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‎17‎</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‎companies‎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‎26‎</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‎complaints‎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‎5‎</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‎customers‎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‎10‎</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‎licenses‎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‎notifications‎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‎12‎</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‎offers‎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‎8‎</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‎payments‎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‎9‎</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‎reservations‎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‎18‎</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‎reviews‎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‎5‎</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‎search‎</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‎site‎</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‎14‎</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‎subscriptions‎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‎17‎</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‎team‎</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‎7‎</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‎vehicles‎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‎20‎</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‎webhooks‎</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‎1‎</w:t>
            </w:r>
          </w:p>
        </w:tc>
      </w:tr>
      <w:tr>
        <w:trPr>
          <w:cantSplit/>
        </w:trPr>
        <w:tc>
          <w:tcPr>
            <w:tcW w:type="dxa" w:w="66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8"/>
                <w:lang w:val="ar-MA" w:eastAsia="ar-MA" w:bidi="ar-MA"/>
                <w:rtl/>
              </w:rPr>
              <w:t>الإجمالي</w:t>
            </w:r>
          </w:p>
        </w:tc>
        <w:tc>
          <w:tcPr>
            <w:tcW w:type="dxa" w:w="27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8"/>
                <w:lang w:val="en-US" w:eastAsia="en-US" w:bidi="en-US"/>
              </w:rPr>
              <w:t>‎268‎</w:t>
            </w:r>
          </w:p>
        </w:tc>
      </w:tr>
    </w:tbl>
    <w:p>
      <w:pPr>
        <w:spacing w:after="20"/>
        <w:bidi/>
        <w:jc w:val="right"/>
      </w:pPr>
    </w:p>
    <w:p>
      <w:pPr>
        <w:keepLines w:val="0"/>
        <w:bidi/>
        <w:jc w:val="right"/>
      </w:pPr>
      <w:r>
        <w:rPr>
          <w:rFonts w:ascii="DejaVu Sans" w:hAnsi="DejaVu Sans" w:cs="DejaVu Sans" w:eastAsia="DejaVu Sans"/>
          <w:b w:val="0"/>
          <w:i/>
          <w:color w:val="667085"/>
          <w:sz w:val="18"/>
          <w:lang w:val="ar-MA" w:eastAsia="ar-MA" w:bidi="ar-MA"/>
          <w:rtl/>
        </w:rPr>
        <w:t>يمثل عدد المعالجات تسجيلات طرق HTTP على مستوى المصدر. وهو مقياس لمساحة السطح، لا عدد عقود API العامة المستقرة. يوثق ملف OpenAPI اليدوي 158 عملية، أي نحو 59% من عدد وقت التشغيل هذا.</w:t>
      </w:r>
    </w:p>
    <w:p>
      <w:pPr>
        <w:pStyle w:val="Heading1"/>
        <w:bidi/>
        <w:jc w:val="right"/>
      </w:pPr>
      <w:r>
        <w:rPr>
          <w:rFonts w:ascii="DejaVu Sans" w:hAnsi="DejaVu Sans" w:cs="DejaVu Sans" w:eastAsia="DejaVu Sans"/>
          <w:lang w:val="ar-MA" w:eastAsia="ar-MA" w:bidi="ar-MA"/>
          <w:rtl/>
        </w:rPr>
        <w:t>الملحق د — فئات البيئة والإعداد</w:t>
      </w:r>
    </w:p>
    <w:p>
      <w:pPr>
        <w:keepLines w:val="0"/>
        <w:bidi/>
        <w:jc w:val="right"/>
      </w:pPr>
      <w:r>
        <w:rPr>
          <w:rFonts w:ascii="DejaVu Sans" w:hAnsi="DejaVu Sans" w:cs="DejaVu Sans" w:eastAsia="DejaVu Sans"/>
          <w:b w:val="0"/>
          <w:i w:val="0"/>
          <w:lang w:val="ar-MA" w:eastAsia="ar-MA" w:bidi="ar-MA"/>
          <w:rtl/>
        </w:rPr>
        <w:t>يقرأ التنفيذ مجموعة واسعة من متغيرات البيئة. استُبعدت القيم عمداً من هذا التقرير. ينبغي أن يكون عقد إعداد الإنتاج مركزياً وذا أنواع ومتحققاً عند البدء ومفصولاً حسب ملكية الأسرار وغير الأسرار.</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700"/>
        <w:gridCol w:w="7660"/>
      </w:tblGrid>
      <w:tr>
        <w:trPr>
          <w:tblHeader w:val="true"/>
          <w:cantSplit/>
        </w:trPr>
        <w:tc>
          <w:tcPr>
            <w:tcW w:type="dxa" w:w="17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الفئة</w:t>
            </w:r>
          </w:p>
        </w:tc>
        <w:tc>
          <w:tcPr>
            <w:tcW w:type="dxa" w:w="76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7"/>
                <w:lang w:val="ar-MA" w:eastAsia="ar-MA" w:bidi="ar-MA"/>
                <w:rtl/>
              </w:rPr>
              <w:t>أمثلة مسؤولية الإعداد</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وقت التشغيل الأساسي</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بيئة Node والمنافذ وعناوين الأساس العامة/للتطبيق/API والوكيل/الأصول الموثوقة</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الهوية</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سياسة سر/مصدر/جمهور JWT وأسماء/نطاقات ملفات التعريف وإعدادات جلسات الإدارة/الموظف/المستأجر</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البيانات</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اتصال PostgreSQL وسلوك Prisma واتصال Redis</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الملفات</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جذر التخزين وسلوك المسارات العامة/الخاصة وحدود الرفع</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المدفوعات</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مفاتيح/أسرار Stripe وPayPal وAmanPay وأسرار خطافات الويب وعناوين العودة/الإلغاء</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البريد الإلكتروني</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مفتاح/مرسل Resend ومضيف/منفذ/مستخدم/كلمة مرور/مرسل SMTP</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الوقت الحقيقي/المهام</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قنوات Redis ومفاتيح/جداول cron حيث تكون قابلة للإعداد</w:t>
            </w:r>
          </w:p>
        </w:tc>
      </w:tr>
      <w:tr>
        <w:trPr>
          <w:cantSplit/>
        </w:trPr>
        <w:tc>
          <w:tcPr>
            <w:tcW w:type="dxa" w:w="17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الإدارة/العمليات</w:t>
            </w:r>
          </w:p>
        </w:tc>
        <w:tc>
          <w:tcPr>
            <w:tcW w:type="dxa" w:w="76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7"/>
                <w:lang w:val="ar-MA" w:eastAsia="ar-MA" w:bidi="ar-MA"/>
                <w:rtl/>
              </w:rPr>
              <w:t>تفعيل Swagger وإعدادات السجل وإعدادات التهيئة/مستوى التحكم</w:t>
            </w:r>
          </w:p>
        </w:tc>
      </w:tr>
    </w:tbl>
    <w:p>
      <w:pPr>
        <w:spacing w:after="20"/>
        <w:bidi/>
        <w:jc w:val="right"/>
      </w:pPr>
    </w:p>
    <w:p>
      <w:pPr>
        <w:pStyle w:val="Heading1"/>
        <w:bidi/>
        <w:jc w:val="right"/>
      </w:pPr>
      <w:r>
        <w:rPr>
          <w:rFonts w:ascii="DejaVu Sans" w:hAnsi="DejaVu Sans" w:cs="DejaVu Sans" w:eastAsia="DejaVu Sans"/>
          <w:lang w:val="ar-MA" w:eastAsia="ar-MA" w:bidi="ar-MA"/>
          <w:rtl/>
        </w:rPr>
        <w:t>الملحق هـ — فهرس الأدلة</w:t>
      </w:r>
    </w:p>
    <w:tbl>
      <w:tblPr>
        <w:tblW w:type="dxa" w:w="9360"/>
        <w:jc w:val="left"/>
        <w:tblLayout w:type="fixed"/>
        <w:tblLook w:firstColumn="1" w:firstRow="1" w:lastColumn="0" w:lastRow="0" w:noHBand="0" w:noVBand="1" w:val="04A0"/>
        <w:tblInd w:w="120" w:type="dxa"/>
        <w:tblBorders>
          <w:top w:val="single" w:sz="4" w:space="0" w:color="D0D5DD"/>
          <w:left w:val="single" w:sz="4" w:space="0" w:color="D0D5DD"/>
          <w:bottom w:val="single" w:sz="4" w:space="0" w:color="D0D5DD"/>
          <w:right w:val="single" w:sz="4" w:space="0" w:color="D0D5DD"/>
          <w:insideH w:val="single" w:sz="4" w:space="0" w:color="D0D5DD"/>
          <w:insideV w:val="single" w:sz="4" w:space="0" w:color="D0D5DD"/>
        </w:tblBorders>
        <w:bidiVisual/>
      </w:tblPr>
      <w:tblGrid>
        <w:gridCol w:w="1900"/>
        <w:gridCol w:w="7460"/>
      </w:tblGrid>
      <w:tr>
        <w:trPr>
          <w:tblHeader w:val="true"/>
          <w:cantSplit/>
        </w:trPr>
        <w:tc>
          <w:tcPr>
            <w:tcW w:type="dxa" w:w="190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6"/>
                <w:lang w:val="ar-MA" w:eastAsia="ar-MA" w:bidi="ar-MA"/>
                <w:rtl/>
              </w:rPr>
              <w:t>مجال الدليل</w:t>
            </w:r>
          </w:p>
        </w:tc>
        <w:tc>
          <w:tcPr>
            <w:tcW w:type="dxa" w:w="7460"/>
            <w:tcMar>
              <w:top w:w="80" w:type="dxa"/>
              <w:start w:w="120" w:type="dxa"/>
              <w:bottom w:w="80" w:type="dxa"/>
              <w:end w:w="120" w:type="dxa"/>
            </w:tcMar>
            <w:shd w:fill="F2F4F7"/>
            <w:vAlign w:val="center"/>
          </w:tcPr>
          <w:p>
            <w:pPr>
              <w:spacing w:before="0" w:after="0" w:line="252" w:lineRule="auto"/>
              <w:bidi/>
              <w:jc w:val="right"/>
            </w:pPr>
            <w:r>
              <w:rPr>
                <w:lang w:val="en-US" w:eastAsia="en-US" w:bidi="en-US"/>
              </w:rPr>
            </w:r>
            <w:r>
              <w:rPr>
                <w:rFonts w:ascii="DejaVu Sans" w:hAnsi="DejaVu Sans" w:cs="DejaVu Sans" w:eastAsia="DejaVu Sans"/>
                <w:b/>
                <w:color w:val="0B2545"/>
                <w:sz w:val="16"/>
                <w:lang w:val="ar-MA" w:eastAsia="ar-MA" w:bidi="ar-MA"/>
                <w:rtl/>
              </w:rPr>
              <w:t>المسارات التمثيلية</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المستودع الأحادي والبرامج النصية</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‎package.json; apps/*/package.json; packages/*/package.json‎</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توجيه الواجهة</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‎apps/homepage/next.config.*; apps/dashboard/next.config.*; apps/admin/next.config.*; apps/carplace/next.config.*‎</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تهيئة API</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‎apps/api/src/app.ts; apps/api/src/index.ts‎</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وحدات API</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‎apps/api/src/modules/**‎</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المصادقة والبرمجية الوسيطة</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‎apps/api/src/middleware/**; apps/api/src/modules/auth/**; apps/api/src/modules/admin/**‎</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قاعدة البيانات</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‎packages/database/prisma/schema.prisma; packages/database/prisma/migrations/**‎</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العقود/الأسعار المشتركة</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‎packages/types/src/**‎</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المدفوعات/خطافات الويب</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apps/api/src/modules/payments/**؛ apps/api/src/modules/webhooks/**؛ شفرة مزود الفوترة/الاشتراك</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الإشعارات/الوقت الحقيقي</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apps/api/src/modules/notifications/**؛ تهيئة Socket.IO/Redis في apps/api/src/index.ts</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التخزين/الرفع</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مسارات/خدمات التخزين في مصدر apps/api وبرمجية وسيطة للتحقق من الرفع</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خاصية الحاويات</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خدمة حاويات apps/api؛ وواجهة إدارة الحاويات؛ وترحيل عنصر نائب؛ ومخطط Prisma</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Calibri" w:hAnsi="Calibri" w:cs="Calibri"/>
                <w:b w:val="0"/>
                <w:color w:val="101828"/>
                <w:sz w:val="16"/>
                <w:lang w:val="en-US" w:eastAsia="en-US" w:bidi="en-US"/>
              </w:rPr>
              <w:t>‎OpenAPI‎</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تعريف OpenAPI/Swagger في مصدر apps/api</w:t>
            </w:r>
          </w:p>
        </w:tc>
      </w:tr>
      <w:tr>
        <w:trPr>
          <w:cantSplit/>
        </w:trPr>
        <w:tc>
          <w:tcPr>
            <w:tcW w:type="dxa" w:w="190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الاختبارات</w:t>
            </w:r>
          </w:p>
        </w:tc>
        <w:tc>
          <w:tcPr>
            <w:tcW w:type="dxa" w:w="7460"/>
            <w:vAlign w:val="center"/>
            <w:tcMar>
              <w:top w:w="80" w:type="dxa"/>
              <w:start w:w="120" w:type="dxa"/>
              <w:bottom w:w="80" w:type="dxa"/>
              <w:end w:w="120" w:type="dxa"/>
            </w:tcMar>
          </w:tcPr>
          <w:p>
            <w:pPr>
              <w:spacing w:before="0" w:after="0" w:line="252" w:lineRule="auto"/>
              <w:bidi/>
              <w:jc w:val="right"/>
            </w:pPr>
            <w:r>
              <w:rPr>
                <w:lang w:val="en-US" w:eastAsia="en-US" w:bidi="en-US"/>
              </w:rPr>
            </w:r>
            <w:r>
              <w:rPr>
                <w:rFonts w:ascii="DejaVu Sans" w:hAnsi="DejaVu Sans" w:cs="DejaVu Sans" w:eastAsia="DejaVu Sans"/>
                <w:b w:val="0"/>
                <w:color w:val="101828"/>
                <w:sz w:val="16"/>
                <w:lang w:val="ar-MA" w:eastAsia="ar-MA" w:bidi="ar-MA"/>
                <w:rtl/>
              </w:rPr>
              <w:t>ملفات اختبارات apps/* وإعدادات Vitest/Playwright</w:t>
            </w:r>
          </w:p>
        </w:tc>
      </w:tr>
    </w:tbl>
    <w:p>
      <w:pPr>
        <w:spacing w:after="20"/>
        <w:bidi/>
        <w:jc w:val="right"/>
      </w:pPr>
    </w:p>
    <w:p>
      <w:pPr>
        <w:pStyle w:val="Heading1"/>
        <w:bidi/>
        <w:jc w:val="right"/>
      </w:pPr>
      <w:r>
        <w:rPr>
          <w:rFonts w:ascii="DejaVu Sans" w:hAnsi="DejaVu Sans" w:cs="DejaVu Sans" w:eastAsia="DejaVu Sans"/>
          <w:lang w:val="ar-MA" w:eastAsia="ar-MA" w:bidi="ar-MA"/>
          <w:rtl/>
        </w:rPr>
        <w:t>الملحق و — نقطة العناية الواجبة التالية</w:t>
      </w:r>
    </w:p>
    <w:p>
      <w:pPr>
        <w:keepLines/>
        <w:numPr>
          <w:ilvl w:val="0"/>
          <w:numId w:val="10"/>
        </w:numPr>
        <w:spacing w:after="160" w:line="280" w:lineRule="auto"/>
        <w:bidi/>
        <w:jc w:val="right"/>
      </w:pPr>
      <w:r>
        <w:rPr>
          <w:rFonts w:ascii="DejaVu Sans" w:hAnsi="DejaVu Sans" w:cs="DejaVu Sans" w:eastAsia="DejaVu Sans"/>
          <w:lang w:val="ar-MA" w:eastAsia="ar-MA" w:bidi="ar-MA"/>
          <w:rtl/>
        </w:rPr>
        <w:t>يُبنى checkout نظيف ويُختبر على إصدارات Node/npm الموثقة من دون خطوات إصلاح محلية.</w:t>
      </w:r>
    </w:p>
    <w:p>
      <w:pPr>
        <w:keepLines/>
        <w:numPr>
          <w:ilvl w:val="0"/>
          <w:numId w:val="10"/>
        </w:numPr>
        <w:spacing w:after="160" w:line="280" w:lineRule="auto"/>
        <w:bidi/>
        <w:jc w:val="right"/>
      </w:pPr>
      <w:r>
        <w:rPr>
          <w:rFonts w:ascii="DejaVu Sans" w:hAnsi="DejaVu Sans" w:cs="DejaVu Sans" w:eastAsia="DejaVu Sans"/>
          <w:lang w:val="ar-MA" w:eastAsia="ar-MA" w:bidi="ar-MA"/>
          <w:rtl/>
        </w:rPr>
        <w:t>لا يحوي فحص اعتماديات الإنتاج نتائج حرجة/عالية غير محلولة خارج استثناء معتمد رسمياً ومحدود زمنياً.</w:t>
      </w:r>
    </w:p>
    <w:p>
      <w:pPr>
        <w:keepLines/>
        <w:numPr>
          <w:ilvl w:val="0"/>
          <w:numId w:val="10"/>
        </w:numPr>
        <w:spacing w:after="160" w:line="280" w:lineRule="auto"/>
        <w:bidi/>
        <w:jc w:val="right"/>
      </w:pPr>
      <w:r>
        <w:rPr>
          <w:rFonts w:ascii="DejaVu Sans" w:hAnsi="DejaVu Sans" w:cs="DejaVu Sans" w:eastAsia="DejaVu Sans"/>
          <w:lang w:val="ar-MA" w:eastAsia="ar-MA" w:bidi="ar-MA"/>
          <w:rtl/>
        </w:rPr>
        <w:t>تجتاز نسختان من API اختبارات صحة الحجز والدفع والمهام والإشعارات والملفات باستخدام تنسيق مشترك وتخزين دائم.</w:t>
      </w:r>
    </w:p>
    <w:p>
      <w:pPr>
        <w:keepLines/>
        <w:numPr>
          <w:ilvl w:val="0"/>
          <w:numId w:val="10"/>
        </w:numPr>
        <w:spacing w:after="160" w:line="280" w:lineRule="auto"/>
        <w:bidi/>
        <w:jc w:val="right"/>
      </w:pPr>
      <w:r>
        <w:rPr>
          <w:rFonts w:ascii="DejaVu Sans" w:hAnsi="DejaVu Sans" w:cs="DejaVu Sans" w:eastAsia="DejaVu Sans"/>
          <w:lang w:val="ar-MA" w:eastAsia="ar-MA" w:bidi="ar-MA"/>
          <w:rtl/>
        </w:rPr>
        <w:t>تُمثل كل المسارات العامة وذات الامتياز في عقد API مرجعي ومصفوفة اختبارات تفويض.</w:t>
      </w:r>
    </w:p>
    <w:p>
      <w:pPr>
        <w:keepLines/>
        <w:numPr>
          <w:ilvl w:val="0"/>
          <w:numId w:val="10"/>
        </w:numPr>
        <w:spacing w:after="160" w:line="280" w:lineRule="auto"/>
        <w:bidi/>
        <w:jc w:val="right"/>
      </w:pPr>
      <w:r>
        <w:rPr>
          <w:rFonts w:ascii="DejaVu Sans" w:hAnsi="DejaVu Sans" w:cs="DejaVu Sans" w:eastAsia="DejaVu Sans"/>
          <w:lang w:val="ar-MA" w:eastAsia="ar-MA" w:bidi="ar-MA"/>
          <w:rtl/>
        </w:rPr>
        <w:t>يثبت تمرين استعادة تعافي قاعدة البيانات والكائنات ضمن RPO/RTO المعتمدين؛ وتُحتفظ الأدلة.</w:t>
      </w:r>
    </w:p>
    <w:p>
      <w:pPr>
        <w:keepLines/>
        <w:numPr>
          <w:ilvl w:val="0"/>
          <w:numId w:val="10"/>
        </w:numPr>
        <w:spacing w:after="160" w:line="280" w:lineRule="auto"/>
        <w:bidi/>
        <w:jc w:val="right"/>
      </w:pPr>
      <w:r>
        <w:rPr>
          <w:rFonts w:ascii="DejaVu Sans" w:hAnsi="DejaVu Sans" w:cs="DejaVu Sans" w:eastAsia="DejaVu Sans"/>
          <w:lang w:val="ar-MA" w:eastAsia="ar-MA" w:bidi="ar-MA"/>
          <w:rtl/>
        </w:rPr>
        <w:t>تُثبت سجلات المسار الحرج ومقاييسه وتتبعُه ولوحاته وتنبيهاته وأدلة المناوبة في تمرين فشل.</w:t>
      </w:r>
    </w:p>
    <w:p>
      <w:pPr>
        <w:keepLines/>
        <w:numPr>
          <w:ilvl w:val="0"/>
          <w:numId w:val="10"/>
        </w:numPr>
        <w:spacing w:after="160" w:line="280" w:lineRule="auto"/>
        <w:bidi/>
        <w:jc w:val="right"/>
      </w:pPr>
      <w:r>
        <w:rPr>
          <w:rFonts w:ascii="DejaVu Sans" w:hAnsi="DejaVu Sans" w:cs="DejaVu Sans" w:eastAsia="DejaVu Sans"/>
          <w:lang w:val="ar-MA" w:eastAsia="ar-MA" w:bidi="ar-MA"/>
          <w:rtl/>
        </w:rPr>
        <w:t>تغطي ضوابط الخصوصية والبيانات الحساسة التصنيف والتشفير والاحتفاظ/الحذف والقراءات ذات الامتياز والصادرات والاستجابة للحوادث.</w:t>
      </w:r>
    </w:p>
    <w:p>
      <w:pPr>
        <w:keepLines/>
        <w:numPr>
          <w:ilvl w:val="0"/>
          <w:numId w:val="10"/>
        </w:numPr>
        <w:spacing w:after="160" w:line="280" w:lineRule="auto"/>
        <w:bidi/>
        <w:jc w:val="right"/>
      </w:pPr>
      <w:r>
        <w:rPr>
          <w:rFonts w:ascii="DejaVu Sans" w:hAnsi="DejaVu Sans" w:cs="DejaVu Sans" w:eastAsia="DejaVu Sans"/>
          <w:lang w:val="ar-MA" w:eastAsia="ar-MA" w:bidi="ar-MA"/>
          <w:rtl/>
        </w:rPr>
        <w:t>يُولد كتالوج الخطط التجاري والدفع والفوترة وإنفاذ الاستحقاقات من مصدر حقيقة واحد مضبوط.</w:t>
      </w:r>
    </w:p>
    <w:p>
      <w:pPr>
        <w:keepLines/>
        <w:numPr>
          <w:ilvl w:val="0"/>
          <w:numId w:val="10"/>
        </w:numPr>
        <w:spacing w:after="160" w:line="280" w:lineRule="auto"/>
        <w:bidi/>
        <w:jc w:val="right"/>
      </w:pPr>
      <w:r>
        <w:rPr>
          <w:rFonts w:ascii="DejaVu Sans" w:hAnsi="DejaVu Sans" w:cs="DejaVu Sans" w:eastAsia="DejaVu Sans"/>
          <w:lang w:val="ar-MA" w:eastAsia="ar-MA" w:bidi="ar-MA"/>
          <w:rtl/>
        </w:rPr>
        <w:t>تغلق اختبارات أمن مستقلة كل النتائج الحرجة/العالية أو تسجل قبولاً صريحاً محدوداً زمنياً من مالكين مسؤولين.</w:t>
      </w:r>
    </w:p>
    <w:p>
      <w:pPr>
        <w:keepLines w:val="0"/>
        <w:spacing w:before="480" w:after="0"/>
        <w:jc w:val="center"/>
        <w:bidi/>
      </w:pPr>
      <w:r>
        <w:rPr>
          <w:rFonts w:ascii="DejaVu Sans" w:hAnsi="DejaVu Sans" w:cs="DejaVu Sans" w:eastAsia="DejaVu Sans"/>
          <w:b/>
          <w:i w:val="0"/>
          <w:color w:val="667085"/>
          <w:sz w:val="20"/>
          <w:lang w:val="ar-MA" w:eastAsia="ar-MA" w:bidi="ar-MA"/>
          <w:rtl/>
        </w:rPr>
        <w:t>نهاية التقرير</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right"/>
      <w:pBdr>
        <w:top w:val="single" w:sz="4" w:space="4" w:color="D0D5DD"/>
      </w:pBdr>
      <w:bidi/>
    </w:pPr>
    <w:r>
      <w:rPr>
        <w:rFonts w:ascii="DejaVu Sans" w:hAnsi="DejaVu Sans" w:cs="DejaVu Sans" w:eastAsia="DejaVu Sans"/>
        <w:color w:val="667085"/>
        <w:sz w:val="16"/>
        <w:lang w:val="ar-MA" w:eastAsia="ar-MA" w:bidi="ar-MA"/>
        <w:rtl/>
      </w:rPr>
      <w:t xml:space="preserve">سري  •  أغسطس 2026    |    </w:t>
    </w:r>
    <w:r>
      <w:rPr>
        <w:lang w:val="en-US" w:eastAsia="en-US" w:bidi="en-US"/>
      </w:rPr>
      <w:fldChar w:fldCharType="begin"/>
      <w:instrText xml:space="preserve">PAGE</w:instrText>
      <w:fldChar w:fldCharType="end"/>
    </w:r>
    <w:r>
      <w:rPr>
        <w:rFonts w:ascii="Calibri" w:hAnsi="Calibri" w:cs="Calibri"/>
        <w:color w:val="667085"/>
        <w:sz w:val="16"/>
        <w:lang w:val="en-US" w:eastAsia="en-US" w:bidi="en-US"/>
      </w:rPr>
      <w:t xml:space="preserve"> / </w:t>
    </w:r>
    <w:r>
      <w:rPr>
        <w:lang w:val="en-US" w:eastAsia="en-US" w:bidi="en-US"/>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right"/>
      <w:pBdr>
        <w:bottom w:val="single" w:sz="4" w:space="4" w:color="D0D5DD"/>
      </w:pBdr>
      <w:bidi/>
    </w:pPr>
    <w:r>
      <w:rPr>
        <w:rFonts w:ascii="DejaVu Sans" w:hAnsi="DejaVu Sans" w:cs="DejaVu Sans" w:eastAsia="DejaVu Sans"/>
        <w:b/>
        <w:color w:val="667085"/>
        <w:sz w:val="17"/>
        <w:lang w:val="ar-MA" w:eastAsia="ar-MA" w:bidi="ar-MA"/>
        <w:rtl/>
      </w:rPr>
      <w:t>RENTALDRIVEGO  |  العناية الواجبة التقنية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bullet"/>
      <w:lvlText w:val="•"/>
      <w:lvlJc w:val="left"/>
      <w:pPr>
        <w:tabs>
          <w:tab w:val="num" w:pos="720"/>
        </w:tabs>
        <w:ind w:left="720" w:hanging="360"/>
        <w:spacing w:after="160" w:line="280" w:lineRule="auto"/>
      </w:pPr>
      <w:rPr>
        <w:rFonts w:ascii="Calibri" w:hAnsi="Calibri"/>
      </w:rPr>
    </w:lvl>
    <w:lvl w:ilvl="1">
      <w:start w:val="1"/>
      <w:numFmt w:val="bullet"/>
      <w:lvlText w:val="–"/>
      <w:lvlJc w:val="left"/>
      <w:pPr>
        <w:tabs>
          <w:tab w:val="num" w:pos="1080"/>
        </w:tabs>
        <w:ind w:left="1080" w:hanging="360"/>
        <w:spacing w:after="160" w:line="280" w:lineRule="auto"/>
      </w:pPr>
      <w:rPr>
        <w:rFonts w:ascii="Calibri" w:hAnsi="Calibri"/>
      </w:rPr>
    </w:lvl>
    <w:lvl w:ilvl="2">
      <w:start w:val="1"/>
      <w:numFmt w:val="bullet"/>
      <w:lvlText w:val="–"/>
      <w:lvlJc w:val="left"/>
      <w:pPr>
        <w:tabs>
          <w:tab w:val="num" w:pos="1440"/>
        </w:tabs>
        <w:ind w:left="1440" w:hanging="360"/>
        <w:spacing w:after="160" w:line="280" w:lineRule="auto"/>
      </w:pPr>
      <w:rPr>
        <w:rFonts w:ascii="Calibri" w:hAnsi="Calibri"/>
      </w:rPr>
    </w:lvl>
  </w:abstractNum>
  <w:abstractNum w:abstractNumId="10">
    <w:multiLevelType w:val="multilevel"/>
    <w:lvl w:ilvl="0">
      <w:start w:val="1"/>
      <w:numFmt w:val="decimal"/>
      <w:lvlText w:val="%1."/>
      <w:lvlJc w:val="left"/>
      <w:pPr>
        <w:tabs>
          <w:tab w:val="num" w:pos="720"/>
        </w:tabs>
        <w:ind w:left="720" w:hanging="360"/>
        <w:spacing w:after="160" w:line="280" w:lineRule="auto"/>
      </w:pPr>
    </w:lvl>
    <w:lvl w:ilvl="1">
      <w:start w:val="1"/>
      <w:numFmt w:val="decimal"/>
      <w:lvlText w:val="%2."/>
      <w:lvlJc w:val="left"/>
      <w:pPr>
        <w:tabs>
          <w:tab w:val="num" w:pos="1080"/>
        </w:tabs>
        <w:ind w:left="1080" w:hanging="360"/>
        <w:spacing w:after="160" w:line="280" w:lineRule="auto"/>
      </w:pPr>
    </w:lvl>
    <w:lvl w:ilvl="2">
      <w:start w:val="1"/>
      <w:numFmt w:val="decimal"/>
      <w:lvlText w:val="%3."/>
      <w:lvlJc w:val="left"/>
      <w:pPr>
        <w:tabs>
          <w:tab w:val="num" w:pos="1440"/>
        </w:tabs>
        <w:ind w:left="1440" w:hanging="360"/>
        <w:spacing w:after="160" w:line="280" w:lineRule="auto"/>
      </w:pPr>
    </w:lvl>
  </w:abstract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018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Calibri" w:hAnsi="Calibri"/>
      <w:b/>
      <w:bCs/>
      <w:i/>
      <w:color w:val="667085"/>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البنية التقنية و
العناية الواجبة للمستثمر</dc:title>
  <dc:subject>Architecture, security, operations, scalability, and investment risk assessment</dc:subject>
  <dc:creator>Technical Due Diligence Review</dc:creator>
  <cp:keywords>RentalDriveGo, architecture, investor due diligence, SaaS, security, scalability</cp:keywords>
  <dc:description>generated by python-docx</dc:description>
  <cp:lastModifiedBy/>
  <cp:revision>1</cp:revision>
  <dcterms:created xsi:type="dcterms:W3CDTF">2013-12-23T23:15:00Z</dcterms:created>
  <dcterms:modified xsi:type="dcterms:W3CDTF">2013-12-23T23:15:00Z</dcterms:modified>
  <cp:category/>
  <dc:language>ar-MA</dc:language>
</cp:coreProperties>
</file>