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keepLines w:val="0"/>
        <w:spacing w:before="2520" w:after="360"/>
        <w:jc w:val="center"/>
      </w:pPr>
      <w:r>
        <w:rPr>
          <w:rFonts w:ascii="Calibri" w:hAnsi="Calibri" w:cs="Calibri"/>
          <w:b/>
          <w:i w:val="0"/>
          <w:color w:val="7A5A00"/>
          <w:sz w:val="24"/>
        </w:rPr>
        <w:t>RENTALDRIVEGO</w:t>
      </w:r>
    </w:p>
    <w:p>
      <w:pPr>
        <w:keepLines/>
        <w:spacing w:after="240"/>
        <w:jc w:val="center"/>
      </w:pPr>
      <w:r>
        <w:rPr>
          <w:rFonts w:ascii="Calibri" w:hAnsi="Calibri" w:cs="Calibri"/>
          <w:b/>
          <w:i w:val="0"/>
          <w:color w:val="203748"/>
          <w:sz w:val="60"/>
        </w:rPr>
        <w:t>Technical Architecture &amp;</w:t>
        <w:br/>
        <w:t>Investor Due Diligence</w:t>
      </w:r>
    </w:p>
    <w:p>
      <w:pPr>
        <w:keepLines/>
        <w:spacing w:after="560"/>
        <w:jc w:val="center"/>
      </w:pPr>
      <w:r>
        <w:rPr>
          <w:rFonts w:ascii="Calibri" w:hAnsi="Calibri" w:cs="Calibri"/>
          <w:b w:val="0"/>
          <w:i w:val="0"/>
          <w:color w:val="1F4D78"/>
          <w:sz w:val="30"/>
        </w:rPr>
        <w:t>A code-evidenced assessment of product scope, system design, security,</w:t>
        <w:br/>
        <w:t>operational readiness, scalability, and investment risk</w:t>
      </w:r>
    </w:p>
    <w:p>
      <w:pPr>
        <w:keepLines w:val="0"/>
        <w:spacing w:after="1720"/>
        <w:jc w:val="center"/>
      </w:pPr>
      <w:r>
        <w:rPr>
          <w:rFonts w:ascii="Calibri" w:hAnsi="Calibri" w:cs="Calibri"/>
          <w:b w:val="0"/>
          <w:i w:val="0"/>
          <w:color w:val="7A5A00"/>
          <w:sz w:val="21"/>
        </w:rPr>
        <w:t>—  Source-code review and technical investment brief  —</w:t>
      </w:r>
    </w:p>
    <w:p>
      <w:pPr>
        <w:keepLines w:val="0"/>
        <w:spacing w:after="100"/>
        <w:jc w:val="center"/>
      </w:pPr>
      <w:r>
        <w:rPr>
          <w:rFonts w:ascii="Calibri" w:hAnsi="Calibri" w:cs="Calibri"/>
          <w:b/>
          <w:i w:val="0"/>
          <w:color w:val="203748"/>
          <w:sz w:val="24"/>
        </w:rPr>
        <w:t>Version 1.0  •  9 August 2026</w:t>
      </w:r>
    </w:p>
    <w:p>
      <w:pPr>
        <w:keepLines w:val="0"/>
        <w:spacing w:after="160"/>
        <w:jc w:val="center"/>
      </w:pPr>
      <w:r>
        <w:rPr>
          <w:rFonts w:ascii="Calibri" w:hAnsi="Calibri" w:cs="Calibri"/>
          <w:b w:val="0"/>
          <w:i/>
          <w:color w:val="667085"/>
          <w:sz w:val="19"/>
        </w:rPr>
        <w:t>Prepared from the supplied car_management source archive</w:t>
      </w:r>
    </w:p>
    <w:p>
      <w:pPr>
        <w:keepLines w:val="0"/>
        <w:spacing w:after="0"/>
        <w:jc w:val="center"/>
      </w:pPr>
      <w:r>
        <w:rPr>
          <w:rFonts w:ascii="Calibri" w:hAnsi="Calibri" w:cs="Calibri"/>
          <w:b/>
          <w:i w:val="0"/>
          <w:color w:val="9B1C1C"/>
          <w:sz w:val="18"/>
        </w:rPr>
        <w:t>CONFIDENTIAL</w:t>
      </w:r>
    </w:p>
    <w:p>
      <w:r>
        <w:br w:type="page"/>
      </w:r>
    </w:p>
    <w:p>
      <w:pPr>
        <w:pStyle w:val="Heading1"/>
      </w:pPr>
      <w:r>
        <w:t>Executive assessment</w:t>
      </w:r>
    </w:p>
    <w:p>
      <w:pPr>
        <w:keepLines/>
        <w:spacing w:before="100" w:after="200"/>
        <w:ind w:left="173" w:right="115"/>
        <w:shd w:fill="FFF6D8"/>
        <w:pBdr>
          <w:left w:val="single" w:sz="20" w:space="8" w:color="7A5A00"/>
        </w:pBdr>
      </w:pPr>
      <w:r>
        <w:rPr>
          <w:rFonts w:ascii="Calibri" w:hAnsi="Calibri" w:cs="Calibri"/>
          <w:b/>
          <w:color w:val="7A5A00"/>
        </w:rPr>
        <w:t xml:space="preserve">Bottom line  </w:t>
      </w:r>
      <w:r>
        <w:rPr>
          <w:rFonts w:ascii="Calibri" w:hAnsi="Calibri" w:cs="Calibri"/>
          <w:color w:val="101828"/>
        </w:rPr>
        <w:t>RentalDriveGo is a serious pre-scale platform: a multi-application monorepo with a broad, Morocco-oriented rental-management domain, a modular API, a mature relational model, and meaningful security controls. The supplied package is not production-diligence ready today because the build/deployment envelope is incomplete, dependency risk is material, and several scale-critical subsystems are either process-local, unfinished, or not evidenced.</w:t>
      </w:r>
    </w:p>
    <w:p>
      <w:pPr>
        <w:keepLines w:val="0"/>
      </w:pPr>
      <w:r>
        <w:rPr>
          <w:rFonts w:ascii="Calibri" w:hAnsi="Calibri" w:cs="Calibri"/>
          <w:b w:val="0"/>
          <w:i w:val="0"/>
        </w:rPr>
        <w:t>The code demonstrates more product depth than a typical early-stage prototype. It contains five web applications, a 21-module API, 67 database models, 49 migration directories, 268 runtime route handlers, tri-lingual interfaces, multi-actor authentication, billing and subscription logic, public marketplace flows, and integrations with three payment families. That is a credible product foundation.</w:t>
      </w:r>
    </w:p>
    <w:p>
      <w:pPr>
        <w:keepLines w:val="0"/>
      </w:pPr>
      <w:r>
        <w:rPr>
          <w:rFonts w:ascii="Calibri" w:hAnsi="Calibri" w:cs="Calibri"/>
          <w:b w:val="0"/>
          <w:i w:val="0"/>
        </w:rPr>
        <w:t>The investment case should therefore not be framed as “the software is finished.” The accurate frame is: the core product and data architecture exist; the next capital milestone is to convert that breadth into a reproducible, secure, observable, horizontally safe production system. The most important diligence issue is the separation between visible feature breadth and deployable operational readiness.</w:t>
      </w:r>
    </w:p>
    <w:p>
      <w:pPr>
        <w:pStyle w:val="Heading2"/>
      </w:pPr>
      <w:r>
        <w:t>Investment interpretation</w:t>
      </w:r>
    </w:p>
    <w:tbl>
      <w:tblPr>
        <w:tblW w:type="dxa" w:w="9360"/>
        <w:jc w:val="left"/>
        <w:tblLayout w:type="fixed"/>
        <w:tblLook w:firstColumn="1" w:firstRow="1" w:lastColumn="0" w:lastRow="0" w:noHBand="0" w:noVBand="1" w:val="04A0"/>
        <w:tblInd w:w="120" w:type="dxa"/>
        <w:tblBorders>
          <w:top w:val="single" w:sz="4" w:space="0" w:color="D0D5DD"/>
          <w:left w:val="single" w:sz="4" w:space="0" w:color="D0D5DD"/>
          <w:bottom w:val="single" w:sz="4" w:space="0" w:color="D0D5DD"/>
          <w:right w:val="single" w:sz="4" w:space="0" w:color="D0D5DD"/>
          <w:insideH w:val="single" w:sz="4" w:space="0" w:color="D0D5DD"/>
          <w:insideV w:val="single" w:sz="4" w:space="0" w:color="D0D5DD"/>
        </w:tblBorders>
      </w:tblPr>
      <w:tblGrid>
        <w:gridCol w:w="1650"/>
        <w:gridCol w:w="1450"/>
        <w:gridCol w:w="6260"/>
      </w:tblGrid>
      <w:tr>
        <w:trPr>
          <w:tblHeader w:val="true"/>
          <w:cantSplit/>
        </w:trPr>
        <w:tc>
          <w:tcPr>
            <w:tcW w:type="dxa" w:w="1650"/>
            <w:tcMar>
              <w:top w:w="80" w:type="dxa"/>
              <w:start w:w="120" w:type="dxa"/>
              <w:bottom w:w="80" w:type="dxa"/>
              <w:end w:w="120" w:type="dxa"/>
            </w:tcMar>
            <w:shd w:fill="F2F4F7"/>
            <w:vAlign w:val="center"/>
          </w:tcPr>
          <w:p>
            <w:pPr>
              <w:spacing w:before="0" w:after="0" w:line="252" w:lineRule="auto"/>
            </w:pPr>
            <w:r/>
            <w:r>
              <w:rPr>
                <w:rFonts w:ascii="Calibri" w:hAnsi="Calibri" w:cs="Calibri"/>
                <w:b/>
                <w:color w:val="0B2545"/>
                <w:sz w:val="18"/>
              </w:rPr>
              <w:t>Dimension</w:t>
            </w:r>
          </w:p>
        </w:tc>
        <w:tc>
          <w:tcPr>
            <w:tcW w:type="dxa" w:w="1450"/>
            <w:tcMar>
              <w:top w:w="80" w:type="dxa"/>
              <w:start w:w="120" w:type="dxa"/>
              <w:bottom w:w="80" w:type="dxa"/>
              <w:end w:w="120" w:type="dxa"/>
            </w:tcMar>
            <w:shd w:fill="F2F4F7"/>
            <w:vAlign w:val="center"/>
          </w:tcPr>
          <w:p>
            <w:pPr>
              <w:spacing w:before="0" w:after="0" w:line="252" w:lineRule="auto"/>
            </w:pPr>
            <w:r/>
            <w:r>
              <w:rPr>
                <w:rFonts w:ascii="Calibri" w:hAnsi="Calibri" w:cs="Calibri"/>
                <w:b/>
                <w:color w:val="0B2545"/>
                <w:sz w:val="18"/>
              </w:rPr>
              <w:t>Assessment</w:t>
            </w:r>
          </w:p>
        </w:tc>
        <w:tc>
          <w:tcPr>
            <w:tcW w:type="dxa" w:w="6260"/>
            <w:tcMar>
              <w:top w:w="80" w:type="dxa"/>
              <w:start w:w="120" w:type="dxa"/>
              <w:bottom w:w="80" w:type="dxa"/>
              <w:end w:w="120" w:type="dxa"/>
            </w:tcMar>
            <w:shd w:fill="F2F4F7"/>
            <w:vAlign w:val="center"/>
          </w:tcPr>
          <w:p>
            <w:pPr>
              <w:spacing w:before="0" w:after="0" w:line="252" w:lineRule="auto"/>
            </w:pPr>
            <w:r/>
            <w:r>
              <w:rPr>
                <w:rFonts w:ascii="Calibri" w:hAnsi="Calibri" w:cs="Calibri"/>
                <w:b/>
                <w:color w:val="0B2545"/>
                <w:sz w:val="18"/>
              </w:rPr>
              <w:t>Investor interpretation</w:t>
            </w:r>
          </w:p>
        </w:tc>
      </w:tr>
      <w:tr>
        <w:trPr>
          <w:cantSplit/>
        </w:trPr>
        <w:tc>
          <w:tcPr>
            <w:tcW w:type="dxa" w:w="165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Product breadth</w:t>
            </w:r>
          </w:p>
        </w:tc>
        <w:tc>
          <w:tcPr>
            <w:tcW w:type="dxa" w:w="145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Strong</w:t>
            </w:r>
          </w:p>
        </w:tc>
        <w:tc>
          <w:tcPr>
            <w:tcW w:type="dxa" w:w="626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Five distinct surfaces cover acquisition, marketplace, tenant operations, platform administration, and API workflows.</w:t>
            </w:r>
          </w:p>
        </w:tc>
      </w:tr>
      <w:tr>
        <w:trPr>
          <w:cantSplit/>
        </w:trPr>
        <w:tc>
          <w:tcPr>
            <w:tcW w:type="dxa" w:w="165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Domain depth</w:t>
            </w:r>
          </w:p>
        </w:tc>
        <w:tc>
          <w:tcPr>
            <w:tcW w:type="dxa" w:w="145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Strong</w:t>
            </w:r>
          </w:p>
        </w:tc>
        <w:tc>
          <w:tcPr>
            <w:tcW w:type="dxa" w:w="626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Fleet, reservations, customers, contracts, pricing, insurance, damage, complaints, reviews, billing, and notifications are represented in code and data.</w:t>
            </w:r>
          </w:p>
        </w:tc>
      </w:tr>
      <w:tr>
        <w:trPr>
          <w:cantSplit/>
        </w:trPr>
        <w:tc>
          <w:tcPr>
            <w:tcW w:type="dxa" w:w="165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Architecture coherence</w:t>
            </w:r>
          </w:p>
        </w:tc>
        <w:tc>
          <w:tcPr>
            <w:tcW w:type="dxa" w:w="145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Moderate</w:t>
            </w:r>
          </w:p>
        </w:tc>
        <w:tc>
          <w:tcPr>
            <w:tcW w:type="dxa" w:w="626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The modular-monolith pattern is appropriate, but shared concerns are duplicated and several legacy/new paths coexist.</w:t>
            </w:r>
          </w:p>
        </w:tc>
      </w:tr>
      <w:tr>
        <w:trPr>
          <w:cantSplit/>
        </w:trPr>
        <w:tc>
          <w:tcPr>
            <w:tcW w:type="dxa" w:w="165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Security design</w:t>
            </w:r>
          </w:p>
        </w:tc>
        <w:tc>
          <w:tcPr>
            <w:tcW w:type="dxa" w:w="145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Moderate–strong</w:t>
            </w:r>
          </w:p>
        </w:tc>
        <w:tc>
          <w:tcPr>
            <w:tcW w:type="dxa" w:w="626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Tenant gates, role checks, CSRF, 2FA, upload validation, webhook verification, and private storage are real; governance and dependency hygiene lag.</w:t>
            </w:r>
          </w:p>
        </w:tc>
      </w:tr>
      <w:tr>
        <w:trPr>
          <w:cantSplit/>
        </w:trPr>
        <w:tc>
          <w:tcPr>
            <w:tcW w:type="dxa" w:w="165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Delivery reproducibility</w:t>
            </w:r>
          </w:p>
        </w:tc>
        <w:tc>
          <w:tcPr>
            <w:tcW w:type="dxa" w:w="145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Weak in package</w:t>
            </w:r>
          </w:p>
        </w:tc>
        <w:tc>
          <w:tcPr>
            <w:tcW w:type="dxa" w:w="626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Required Turbo, base TypeScript, scripts, Compose, backup, and admin-bootstrap artifacts are referenced but absent.</w:t>
            </w:r>
          </w:p>
        </w:tc>
      </w:tr>
      <w:tr>
        <w:trPr>
          <w:cantSplit/>
        </w:trPr>
        <w:tc>
          <w:tcPr>
            <w:tcW w:type="dxa" w:w="165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Scale readiness</w:t>
            </w:r>
          </w:p>
        </w:tc>
        <w:tc>
          <w:tcPr>
            <w:tcW w:type="dxa" w:w="145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Early</w:t>
            </w:r>
          </w:p>
        </w:tc>
        <w:tc>
          <w:tcPr>
            <w:tcW w:type="dxa" w:w="626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Local storage, memory-backed limits/idempotency, embedded cron jobs, and a missing outbox worker constrain safe horizontal scaling.</w:t>
            </w:r>
          </w:p>
        </w:tc>
      </w:tr>
      <w:tr>
        <w:trPr>
          <w:cantSplit/>
        </w:trPr>
        <w:tc>
          <w:tcPr>
            <w:tcW w:type="dxa" w:w="165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Operational maturity</w:t>
            </w:r>
          </w:p>
        </w:tc>
        <w:tc>
          <w:tcPr>
            <w:tcW w:type="dxa" w:w="145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Early</w:t>
            </w:r>
          </w:p>
        </w:tc>
        <w:tc>
          <w:tcPr>
            <w:tcW w:type="dxa" w:w="626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No complete CI, metrics, tracing, SLO, readiness, graceful shutdown, or tested disaster-recovery evidence was supplied.</w:t>
            </w:r>
          </w:p>
        </w:tc>
      </w:tr>
    </w:tbl>
    <w:p>
      <w:pPr>
        <w:spacing w:after="20"/>
      </w:pPr>
    </w:p>
    <w:p>
      <w:pPr>
        <w:spacing w:before="80" w:after="80"/>
      </w:pPr>
      <w:r>
        <w:rPr>
          <w:rFonts w:ascii="Calibri" w:hAnsi="Calibri" w:cs="Calibri"/>
          <w:i/>
          <w:color w:val="667085"/>
          <w:sz w:val="17"/>
        </w:rPr>
        <w:t>Evidence: Repository manifests, application source, Prisma schema and migrations, route inventory, static checks, and dependency audit performed on 9 August 2026.</w:t>
      </w:r>
    </w:p>
    <w:p>
      <w:pPr>
        <w:pStyle w:val="Heading2"/>
      </w:pPr>
      <w:r>
        <w:t>Recommendation</w:t>
      </w:r>
    </w:p>
    <w:p>
      <w:pPr>
        <w:keepLines/>
        <w:numPr>
          <w:ilvl w:val="0"/>
          <w:numId w:val="10"/>
        </w:numPr>
        <w:spacing w:after="160" w:line="280" w:lineRule="auto"/>
      </w:pPr>
      <w:r>
        <w:rPr>
          <w:rFonts w:ascii="Calibri" w:hAnsi="Calibri" w:cs="Calibri"/>
        </w:rPr>
        <w:t>Treat the current asset as a capable beta / pre-scale platform, not as a production-hardened SaaS estate.</w:t>
      </w:r>
    </w:p>
    <w:p>
      <w:pPr>
        <w:keepLines/>
        <w:numPr>
          <w:ilvl w:val="0"/>
          <w:numId w:val="10"/>
        </w:numPr>
        <w:spacing w:after="160" w:line="280" w:lineRule="auto"/>
      </w:pPr>
      <w:r>
        <w:rPr>
          <w:rFonts w:ascii="Calibri" w:hAnsi="Calibri" w:cs="Calibri"/>
        </w:rPr>
        <w:t>Condition any production or scale claim on a short technical-hardening gate: reproducible CI build, clean dependency posture, shared infrastructure for state, background-worker completion, and recovery evidence.</w:t>
      </w:r>
    </w:p>
    <w:p>
      <w:pPr>
        <w:keepLines/>
        <w:numPr>
          <w:ilvl w:val="0"/>
          <w:numId w:val="10"/>
        </w:numPr>
        <w:spacing w:after="160" w:line="280" w:lineRule="auto"/>
      </w:pPr>
      <w:r>
        <w:rPr>
          <w:rFonts w:ascii="Calibri" w:hAnsi="Calibri" w:cs="Calibri"/>
        </w:rPr>
        <w:t>Preserve the modular monolith for now. Splitting services before correcting operational foundations would add coordination cost without removing the current bottlenecks.</w:t>
      </w:r>
    </w:p>
    <w:p>
      <w:pPr>
        <w:keepLines/>
        <w:numPr>
          <w:ilvl w:val="0"/>
          <w:numId w:val="10"/>
        </w:numPr>
        <w:spacing w:after="160" w:line="280" w:lineRule="auto"/>
      </w:pPr>
      <w:r>
        <w:rPr>
          <w:rFonts w:ascii="Calibri" w:hAnsi="Calibri" w:cs="Calibri"/>
        </w:rPr>
        <w:t>Fund a 90-day production-readiness program with explicit evidence-based exit criteria, then reevaluate service extraction only from measured load and organizational boundaries.</w:t>
      </w:r>
    </w:p>
    <w:p>
      <w:pPr>
        <w:pStyle w:val="Heading2"/>
      </w:pPr>
      <w:r>
        <w:t>Material findings at a glance</w:t>
      </w:r>
    </w:p>
    <w:tbl>
      <w:tblPr>
        <w:tblW w:type="dxa" w:w="9360"/>
        <w:jc w:val="left"/>
        <w:tblLayout w:type="fixed"/>
        <w:tblLook w:firstColumn="1" w:firstRow="1" w:lastColumn="0" w:lastRow="0" w:noHBand="0" w:noVBand="1" w:val="04A0"/>
        <w:tblInd w:w="120" w:type="dxa"/>
        <w:tblBorders>
          <w:top w:val="single" w:sz="4" w:space="0" w:color="D0D5DD"/>
          <w:left w:val="single" w:sz="4" w:space="0" w:color="D0D5DD"/>
          <w:bottom w:val="single" w:sz="4" w:space="0" w:color="D0D5DD"/>
          <w:right w:val="single" w:sz="4" w:space="0" w:color="D0D5DD"/>
          <w:insideH w:val="single" w:sz="4" w:space="0" w:color="D0D5DD"/>
          <w:insideV w:val="single" w:sz="4" w:space="0" w:color="D0D5DD"/>
        </w:tblBorders>
      </w:tblPr>
      <w:tblGrid>
        <w:gridCol w:w="700"/>
        <w:gridCol w:w="4550"/>
        <w:gridCol w:w="4110"/>
      </w:tblGrid>
      <w:tr>
        <w:trPr>
          <w:tblHeader w:val="true"/>
          <w:cantSplit/>
        </w:trPr>
        <w:tc>
          <w:tcPr>
            <w:tcW w:type="dxa" w:w="700"/>
            <w:tcMar>
              <w:top w:w="80" w:type="dxa"/>
              <w:start w:w="120" w:type="dxa"/>
              <w:bottom w:w="80" w:type="dxa"/>
              <w:end w:w="120" w:type="dxa"/>
            </w:tcMar>
            <w:shd w:fill="F2F4F7"/>
            <w:vAlign w:val="center"/>
          </w:tcPr>
          <w:p>
            <w:pPr>
              <w:spacing w:before="0" w:after="0" w:line="252" w:lineRule="auto"/>
            </w:pPr>
            <w:r/>
            <w:r>
              <w:rPr>
                <w:rFonts w:ascii="Calibri" w:hAnsi="Calibri" w:cs="Calibri"/>
                <w:b/>
                <w:color w:val="0B2545"/>
                <w:sz w:val="17"/>
              </w:rPr>
              <w:t>Priority</w:t>
            </w:r>
          </w:p>
        </w:tc>
        <w:tc>
          <w:tcPr>
            <w:tcW w:type="dxa" w:w="4550"/>
            <w:tcMar>
              <w:top w:w="80" w:type="dxa"/>
              <w:start w:w="120" w:type="dxa"/>
              <w:bottom w:w="80" w:type="dxa"/>
              <w:end w:w="120" w:type="dxa"/>
            </w:tcMar>
            <w:shd w:fill="F2F4F7"/>
            <w:vAlign w:val="center"/>
          </w:tcPr>
          <w:p>
            <w:pPr>
              <w:spacing w:before="0" w:after="0" w:line="252" w:lineRule="auto"/>
            </w:pPr>
            <w:r/>
            <w:r>
              <w:rPr>
                <w:rFonts w:ascii="Calibri" w:hAnsi="Calibri" w:cs="Calibri"/>
                <w:b/>
                <w:color w:val="0B2545"/>
                <w:sz w:val="17"/>
              </w:rPr>
              <w:t>Finding</w:t>
            </w:r>
          </w:p>
        </w:tc>
        <w:tc>
          <w:tcPr>
            <w:tcW w:type="dxa" w:w="4110"/>
            <w:tcMar>
              <w:top w:w="80" w:type="dxa"/>
              <w:start w:w="120" w:type="dxa"/>
              <w:bottom w:w="80" w:type="dxa"/>
              <w:end w:w="120" w:type="dxa"/>
            </w:tcMar>
            <w:shd w:fill="F2F4F7"/>
            <w:vAlign w:val="center"/>
          </w:tcPr>
          <w:p>
            <w:pPr>
              <w:spacing w:before="0" w:after="0" w:line="252" w:lineRule="auto"/>
            </w:pPr>
            <w:r/>
            <w:r>
              <w:rPr>
                <w:rFonts w:ascii="Calibri" w:hAnsi="Calibri" w:cs="Calibri"/>
                <w:b/>
                <w:color w:val="0B2545"/>
                <w:sz w:val="17"/>
              </w:rPr>
              <w:t>Why it matters</w:t>
            </w:r>
          </w:p>
        </w:tc>
      </w:tr>
      <w:tr>
        <w:trPr>
          <w:cantSplit/>
        </w:trPr>
        <w:tc>
          <w:tcPr>
            <w:tcW w:type="dxa" w:w="700"/>
            <w:shd w:fill="FDECEC"/>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P0</w:t>
            </w:r>
          </w:p>
        </w:tc>
        <w:tc>
          <w:tcPr>
            <w:tcW w:type="dxa" w:w="4550"/>
            <w:shd w:fill="FDECEC"/>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The archive cannot execute its declared monorepo build/type-check path because turbo.json and tsconfig.base.json are absent.</w:t>
            </w:r>
          </w:p>
        </w:tc>
        <w:tc>
          <w:tcPr>
            <w:tcW w:type="dxa" w:w="4110"/>
            <w:shd w:fill="FDECEC"/>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A buyer cannot reproduce or attest the shipped artifact.</w:t>
            </w:r>
          </w:p>
        </w:tc>
      </w:tr>
      <w:tr>
        <w:trPr>
          <w:cantSplit/>
        </w:trPr>
        <w:tc>
          <w:tcPr>
            <w:tcW w:type="dxa" w:w="700"/>
            <w:shd w:fill="FDECEC"/>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P0</w:t>
            </w:r>
          </w:p>
        </w:tc>
        <w:tc>
          <w:tcPr>
            <w:tcW w:type="dxa" w:w="4550"/>
            <w:shd w:fill="FDECEC"/>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A current production-dependency audit reported 21 vulnerabilities: 1 critical, 14 high, 5 moderate, 1 low.</w:t>
            </w:r>
          </w:p>
        </w:tc>
        <w:tc>
          <w:tcPr>
            <w:tcW w:type="dxa" w:w="4110"/>
            <w:shd w:fill="FDECEC"/>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Security exposure and diligence friction are immediate.</w:t>
            </w:r>
          </w:p>
        </w:tc>
      </w:tr>
      <w:tr>
        <w:trPr>
          <w:cantSplit/>
        </w:trPr>
        <w:tc>
          <w:tcPr>
            <w:tcW w:type="dxa" w:w="700"/>
            <w:shd w:fill="FDECEC"/>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P0</w:t>
            </w:r>
          </w:p>
        </w:tc>
        <w:tc>
          <w:tcPr>
            <w:tcW w:type="dxa" w:w="4550"/>
            <w:shd w:fill="FDECEC"/>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Per-tenant container orchestration code expects a database model and API surface that do not exist; the migration is a placeholder.</w:t>
            </w:r>
          </w:p>
        </w:tc>
        <w:tc>
          <w:tcPr>
            <w:tcW w:type="dxa" w:w="4110"/>
            <w:shd w:fill="FDECEC"/>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The capability is nonfunctional and the intended Docker-socket trust boundary would be high privilege.</w:t>
            </w:r>
          </w:p>
        </w:tc>
      </w:tr>
      <w:tr>
        <w:trPr>
          <w:cantSplit/>
        </w:trPr>
        <w:tc>
          <w:tcPr>
            <w:tcW w:type="dxa" w:w="700"/>
            <w:shd w:fill="FFF6D8"/>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P1</w:t>
            </w:r>
          </w:p>
        </w:tc>
        <w:tc>
          <w:tcPr>
            <w:tcW w:type="dxa" w:w="4550"/>
            <w:shd w:fill="FFF6D8"/>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A durable notification outbox is modeled and written, but no dispatcher/worker was found.</w:t>
            </w:r>
          </w:p>
        </w:tc>
        <w:tc>
          <w:tcPr>
            <w:tcW w:type="dxa" w:w="4110"/>
            <w:shd w:fill="FFF6D8"/>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Delivery records can accumulate without provider delivery or realtime fan-out.</w:t>
            </w:r>
          </w:p>
        </w:tc>
      </w:tr>
      <w:tr>
        <w:trPr>
          <w:cantSplit/>
        </w:trPr>
        <w:tc>
          <w:tcPr>
            <w:tcW w:type="dxa" w:w="700"/>
            <w:shd w:fill="FFF6D8"/>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P1</w:t>
            </w:r>
          </w:p>
        </w:tc>
        <w:tc>
          <w:tcPr>
            <w:tcW w:type="dxa" w:w="4550"/>
            <w:shd w:fill="FFF6D8"/>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Rate limits, selected idempotency, scheduled work, and file storage are process-local.</w:t>
            </w:r>
          </w:p>
        </w:tc>
        <w:tc>
          <w:tcPr>
            <w:tcW w:type="dxa" w:w="4110"/>
            <w:shd w:fill="FFF6D8"/>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Horizontal replicas can duplicate work, lose coordination, and serve inconsistent files.</w:t>
            </w:r>
          </w:p>
        </w:tc>
      </w:tr>
      <w:tr>
        <w:trPr>
          <w:cantSplit/>
        </w:trPr>
        <w:tc>
          <w:tcPr>
            <w:tcW w:type="dxa" w:w="700"/>
            <w:shd w:fill="FFF6D8"/>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P1</w:t>
            </w:r>
          </w:p>
        </w:tc>
        <w:tc>
          <w:tcPr>
            <w:tcW w:type="dxa" w:w="4550"/>
            <w:shd w:fill="FFF6D8"/>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No complete CI/CD, observability, readiness, graceful shutdown, backup/restore, or recovery-test evidence was supplied.</w:t>
            </w:r>
          </w:p>
        </w:tc>
        <w:tc>
          <w:tcPr>
            <w:tcW w:type="dxa" w:w="4110"/>
            <w:shd w:fill="FFF6D8"/>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Production operations cannot be independently validated.</w:t>
            </w:r>
          </w:p>
        </w:tc>
      </w:tr>
    </w:tbl>
    <w:p>
      <w:pPr>
        <w:spacing w:after="20"/>
      </w:pPr>
    </w:p>
    <w:p>
      <w:pPr>
        <w:pStyle w:val="Heading1"/>
        <w:pageBreakBefore/>
      </w:pPr>
      <w:r>
        <w:t>Document basis and diligence method</w:t>
      </w:r>
    </w:p>
    <w:p>
      <w:pPr>
        <w:keepLines w:val="0"/>
      </w:pPr>
      <w:r>
        <w:rPr>
          <w:rFonts w:ascii="Calibri" w:hAnsi="Calibri" w:cs="Calibri"/>
          <w:b w:val="0"/>
          <w:i w:val="0"/>
        </w:rPr>
        <w:t>This document is a technical diligence report, not a management representation, penetration test, legal opinion, privacy certification, financial audit, or live-production assessment. Its conclusions are limited to the contents of the supplied archive and safe local verification steps.</w:t>
      </w:r>
    </w:p>
    <w:p>
      <w:pPr>
        <w:pStyle w:val="Heading2"/>
      </w:pPr>
      <w:r>
        <w:t>Evidence standard</w:t>
      </w:r>
    </w:p>
    <w:tbl>
      <w:tblPr>
        <w:tblW w:type="dxa" w:w="9360"/>
        <w:jc w:val="left"/>
        <w:tblLayout w:type="fixed"/>
        <w:tblLook w:firstColumn="1" w:firstRow="1" w:lastColumn="0" w:lastRow="0" w:noHBand="0" w:noVBand="1" w:val="04A0"/>
        <w:tblInd w:w="120" w:type="dxa"/>
        <w:tblBorders>
          <w:top w:val="single" w:sz="4" w:space="0" w:color="D0D5DD"/>
          <w:left w:val="single" w:sz="4" w:space="0" w:color="D0D5DD"/>
          <w:bottom w:val="single" w:sz="4" w:space="0" w:color="D0D5DD"/>
          <w:right w:val="single" w:sz="4" w:space="0" w:color="D0D5DD"/>
          <w:insideH w:val="single" w:sz="4" w:space="0" w:color="D0D5DD"/>
          <w:insideV w:val="single" w:sz="4" w:space="0" w:color="D0D5DD"/>
        </w:tblBorders>
      </w:tblPr>
      <w:tblGrid>
        <w:gridCol w:w="1300"/>
        <w:gridCol w:w="3330"/>
        <w:gridCol w:w="4730"/>
      </w:tblGrid>
      <w:tr>
        <w:trPr>
          <w:tblHeader w:val="true"/>
          <w:cantSplit/>
        </w:trPr>
        <w:tc>
          <w:tcPr>
            <w:tcW w:type="dxa" w:w="1300"/>
            <w:tcMar>
              <w:top w:w="80" w:type="dxa"/>
              <w:start w:w="120" w:type="dxa"/>
              <w:bottom w:w="80" w:type="dxa"/>
              <w:end w:w="120" w:type="dxa"/>
            </w:tcMar>
            <w:shd w:fill="F2F4F7"/>
            <w:vAlign w:val="center"/>
          </w:tcPr>
          <w:p>
            <w:pPr>
              <w:spacing w:before="0" w:after="0" w:line="252" w:lineRule="auto"/>
            </w:pPr>
            <w:r/>
            <w:r>
              <w:rPr>
                <w:rFonts w:ascii="Calibri" w:hAnsi="Calibri" w:cs="Calibri"/>
                <w:b/>
                <w:color w:val="0B2545"/>
                <w:sz w:val="18"/>
              </w:rPr>
              <w:t>Label</w:t>
            </w:r>
          </w:p>
        </w:tc>
        <w:tc>
          <w:tcPr>
            <w:tcW w:type="dxa" w:w="3330"/>
            <w:tcMar>
              <w:top w:w="80" w:type="dxa"/>
              <w:start w:w="120" w:type="dxa"/>
              <w:bottom w:w="80" w:type="dxa"/>
              <w:end w:w="120" w:type="dxa"/>
            </w:tcMar>
            <w:shd w:fill="F2F4F7"/>
            <w:vAlign w:val="center"/>
          </w:tcPr>
          <w:p>
            <w:pPr>
              <w:spacing w:before="0" w:after="0" w:line="252" w:lineRule="auto"/>
            </w:pPr>
            <w:r/>
            <w:r>
              <w:rPr>
                <w:rFonts w:ascii="Calibri" w:hAnsi="Calibri" w:cs="Calibri"/>
                <w:b/>
                <w:color w:val="0B2545"/>
                <w:sz w:val="18"/>
              </w:rPr>
              <w:t>Meaning</w:t>
            </w:r>
          </w:p>
        </w:tc>
        <w:tc>
          <w:tcPr>
            <w:tcW w:type="dxa" w:w="4730"/>
            <w:tcMar>
              <w:top w:w="80" w:type="dxa"/>
              <w:start w:w="120" w:type="dxa"/>
              <w:bottom w:w="80" w:type="dxa"/>
              <w:end w:w="120" w:type="dxa"/>
            </w:tcMar>
            <w:shd w:fill="F2F4F7"/>
            <w:vAlign w:val="center"/>
          </w:tcPr>
          <w:p>
            <w:pPr>
              <w:spacing w:before="0" w:after="0" w:line="252" w:lineRule="auto"/>
            </w:pPr>
            <w:r/>
            <w:r>
              <w:rPr>
                <w:rFonts w:ascii="Calibri" w:hAnsi="Calibri" w:cs="Calibri"/>
                <w:b/>
                <w:color w:val="0B2545"/>
                <w:sz w:val="18"/>
              </w:rPr>
              <w:t>Use in this report</w:t>
            </w:r>
          </w:p>
        </w:tc>
      </w:tr>
      <w:tr>
        <w:trPr>
          <w:cantSplit/>
        </w:trPr>
        <w:tc>
          <w:tcPr>
            <w:tcW w:type="dxa" w:w="13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Verified</w:t>
            </w:r>
          </w:p>
        </w:tc>
        <w:tc>
          <w:tcPr>
            <w:tcW w:type="dxa" w:w="333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Directly present in source, schema, migrations, configuration, or command output.</w:t>
            </w:r>
          </w:p>
        </w:tc>
        <w:tc>
          <w:tcPr>
            <w:tcW w:type="dxa" w:w="473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Used for architecture, route/model counts, controls, dependencies, and package gaps.</w:t>
            </w:r>
          </w:p>
        </w:tc>
      </w:tr>
      <w:tr>
        <w:trPr>
          <w:cantSplit/>
        </w:trPr>
        <w:tc>
          <w:tcPr>
            <w:tcW w:type="dxa" w:w="13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Inferred</w:t>
            </w:r>
          </w:p>
        </w:tc>
        <w:tc>
          <w:tcPr>
            <w:tcW w:type="dxa" w:w="333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Strongly implied by code paths or names but not demonstrated end-to-end.</w:t>
            </w:r>
          </w:p>
        </w:tc>
        <w:tc>
          <w:tcPr>
            <w:tcW w:type="dxa" w:w="473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Used cautiously for operating intent such as private-document classes and deployment topology.</w:t>
            </w:r>
          </w:p>
        </w:tc>
      </w:tr>
      <w:tr>
        <w:trPr>
          <w:cantSplit/>
        </w:trPr>
        <w:tc>
          <w:tcPr>
            <w:tcW w:type="dxa" w:w="13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Not evidenced</w:t>
            </w:r>
          </w:p>
        </w:tc>
        <w:tc>
          <w:tcPr>
            <w:tcW w:type="dxa" w:w="333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Expected for a mature production system but not present in the supplied package.</w:t>
            </w:r>
          </w:p>
        </w:tc>
        <w:tc>
          <w:tcPr>
            <w:tcW w:type="dxa" w:w="473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Used for CI/CD, DR, metrics/tracing, production topology, and governance gaps.</w:t>
            </w:r>
          </w:p>
        </w:tc>
      </w:tr>
      <w:tr>
        <w:trPr>
          <w:cantSplit/>
        </w:trPr>
        <w:tc>
          <w:tcPr>
            <w:tcW w:type="dxa" w:w="13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Judgment</w:t>
            </w:r>
          </w:p>
        </w:tc>
        <w:tc>
          <w:tcPr>
            <w:tcW w:type="dxa" w:w="333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An analyst conclusion based on verified evidence and accepted engineering practice.</w:t>
            </w:r>
          </w:p>
        </w:tc>
        <w:tc>
          <w:tcPr>
            <w:tcW w:type="dxa" w:w="473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Used for maturity, investment risk, sequencing, and roadmap recommendations.</w:t>
            </w:r>
          </w:p>
        </w:tc>
      </w:tr>
    </w:tbl>
    <w:p>
      <w:pPr>
        <w:spacing w:after="20"/>
      </w:pPr>
    </w:p>
    <w:p>
      <w:pPr>
        <w:pStyle w:val="Heading2"/>
      </w:pPr>
      <w:r>
        <w:t>Review activities</w:t>
      </w:r>
    </w:p>
    <w:p>
      <w:pPr>
        <w:keepLines/>
        <w:numPr>
          <w:ilvl w:val="0"/>
          <w:numId w:val="10"/>
        </w:numPr>
        <w:spacing w:after="160" w:line="280" w:lineRule="auto"/>
      </w:pPr>
      <w:r>
        <w:rPr>
          <w:rFonts w:ascii="Calibri" w:hAnsi="Calibri" w:cs="Calibri"/>
        </w:rPr>
        <w:t>Validated the ZIP entry paths before extraction; excluded generated build caches and dependency folders from the working review copy.</w:t>
      </w:r>
    </w:p>
    <w:p>
      <w:pPr>
        <w:keepLines/>
        <w:numPr>
          <w:ilvl w:val="0"/>
          <w:numId w:val="10"/>
        </w:numPr>
        <w:spacing w:after="160" w:line="280" w:lineRule="auto"/>
      </w:pPr>
      <w:r>
        <w:rPr>
          <w:rFonts w:ascii="Calibri" w:hAnsi="Calibri" w:cs="Calibri"/>
        </w:rPr>
        <w:t>Inventoried applications, workspaces, package manifests, TypeScript source, test suites, runtime routes, database schema, and migrations.</w:t>
      </w:r>
    </w:p>
    <w:p>
      <w:pPr>
        <w:keepLines/>
        <w:numPr>
          <w:ilvl w:val="0"/>
          <w:numId w:val="10"/>
        </w:numPr>
        <w:spacing w:after="160" w:line="280" w:lineRule="auto"/>
      </w:pPr>
      <w:r>
        <w:rPr>
          <w:rFonts w:ascii="Calibri" w:hAnsi="Calibri" w:cs="Calibri"/>
        </w:rPr>
        <w:t>Traced authentication, tenant isolation, authorization, subscription gates, booking, payments, webhooks, notifications, file storage, realtime events, and scheduled work.</w:t>
      </w:r>
    </w:p>
    <w:p>
      <w:pPr>
        <w:keepLines/>
        <w:numPr>
          <w:ilvl w:val="0"/>
          <w:numId w:val="10"/>
        </w:numPr>
        <w:spacing w:after="160" w:line="280" w:lineRule="auto"/>
      </w:pPr>
      <w:r>
        <w:rPr>
          <w:rFonts w:ascii="Calibri" w:hAnsi="Calibri" w:cs="Calibri"/>
        </w:rPr>
        <w:t>Ran the declared monorepo and workspace type-check paths, homepage lint, frontend test runners under controlled timeouts, and a production dependency audit.</w:t>
      </w:r>
    </w:p>
    <w:p>
      <w:pPr>
        <w:keepLines/>
        <w:numPr>
          <w:ilvl w:val="0"/>
          <w:numId w:val="10"/>
        </w:numPr>
        <w:spacing w:after="160" w:line="280" w:lineRule="auto"/>
      </w:pPr>
      <w:r>
        <w:rPr>
          <w:rFonts w:ascii="Calibri" w:hAnsi="Calibri" w:cs="Calibri"/>
        </w:rPr>
        <w:t>Compared advertised product behavior, shared pricing constants, API behavior, database constraints, and operational scripts for consistency.</w:t>
      </w:r>
    </w:p>
    <w:p>
      <w:pPr>
        <w:pStyle w:val="Heading2"/>
      </w:pPr>
      <w:r>
        <w:t>Review limitations</w:t>
      </w:r>
    </w:p>
    <w:p>
      <w:pPr>
        <w:keepLines/>
        <w:numPr>
          <w:ilvl w:val="0"/>
          <w:numId w:val="10"/>
        </w:numPr>
        <w:spacing w:after="160" w:line="280" w:lineRule="auto"/>
      </w:pPr>
      <w:r>
        <w:rPr>
          <w:rFonts w:ascii="Calibri" w:hAnsi="Calibri" w:cs="Calibri"/>
        </w:rPr>
        <w:t>No production environment, cloud account, database contents, live traffic, secrets manager, payment dashboard, DNS/TLS configuration, or monitoring platform was provided.</w:t>
      </w:r>
    </w:p>
    <w:p>
      <w:pPr>
        <w:keepLines/>
        <w:numPr>
          <w:ilvl w:val="0"/>
          <w:numId w:val="10"/>
        </w:numPr>
        <w:spacing w:after="160" w:line="280" w:lineRule="auto"/>
      </w:pPr>
      <w:r>
        <w:rPr>
          <w:rFonts w:ascii="Calibri" w:hAnsi="Calibri" w:cs="Calibri"/>
        </w:rPr>
        <w:t>No stakeholder interviews, revenue data, customer adoption metrics, incident history, data-processing agreements, or security policies were reviewed.</w:t>
      </w:r>
    </w:p>
    <w:p>
      <w:pPr>
        <w:keepLines/>
        <w:numPr>
          <w:ilvl w:val="0"/>
          <w:numId w:val="10"/>
        </w:numPr>
        <w:spacing w:after="160" w:line="280" w:lineRule="auto"/>
      </w:pPr>
      <w:r>
        <w:rPr>
          <w:rFonts w:ascii="Calibri" w:hAnsi="Calibri" w:cs="Calibri"/>
        </w:rPr>
        <w:t>The package appears incomplete relative to its own scripts. Missing files may exist elsewhere; until supplied and independently reproduced, they cannot support a diligence claim.</w:t>
      </w:r>
    </w:p>
    <w:p>
      <w:pPr>
        <w:keepLines/>
        <w:numPr>
          <w:ilvl w:val="0"/>
          <w:numId w:val="10"/>
        </w:numPr>
        <w:spacing w:after="160" w:line="280" w:lineRule="auto"/>
      </w:pPr>
      <w:r>
        <w:rPr>
          <w:rFonts w:ascii="Calibri" w:hAnsi="Calibri" w:cs="Calibri"/>
        </w:rPr>
        <w:t>Dependency audit results are time-sensitive and reflect 9 August 2026; they must be rerun in CI and before any release.</w:t>
      </w:r>
    </w:p>
    <w:p>
      <w:pPr>
        <w:keepLines/>
        <w:numPr>
          <w:ilvl w:val="0"/>
          <w:numId w:val="10"/>
        </w:numPr>
        <w:spacing w:after="160" w:line="280" w:lineRule="auto"/>
      </w:pPr>
      <w:r>
        <w:rPr>
          <w:rFonts w:ascii="Calibri" w:hAnsi="Calibri" w:cs="Calibri"/>
        </w:rPr>
        <w:t>Some frontend test files visibly executed successfully, but the full runners did not terminate cleanly within controlled runs; this is not a passing test attestation.</w:t>
      </w:r>
    </w:p>
    <w:p>
      <w:pPr>
        <w:pStyle w:val="Heading2"/>
      </w:pPr>
      <w:r>
        <w:t>Document map</w:t>
      </w:r>
    </w:p>
    <w:p>
      <w:pPr>
        <w:keepLines/>
        <w:numPr>
          <w:ilvl w:val="0"/>
          <w:numId w:val="10"/>
        </w:numPr>
        <w:spacing w:after="160" w:line="280" w:lineRule="auto"/>
      </w:pPr>
      <w:r>
        <w:rPr>
          <w:rFonts w:ascii="Calibri" w:hAnsi="Calibri" w:cs="Calibri"/>
        </w:rPr>
        <w:t>1. Product and system scope</w:t>
      </w:r>
    </w:p>
    <w:p>
      <w:pPr>
        <w:keepLines/>
        <w:numPr>
          <w:ilvl w:val="0"/>
          <w:numId w:val="10"/>
        </w:numPr>
        <w:spacing w:after="160" w:line="280" w:lineRule="auto"/>
      </w:pPr>
      <w:r>
        <w:rPr>
          <w:rFonts w:ascii="Calibri" w:hAnsi="Calibri" w:cs="Calibri"/>
        </w:rPr>
        <w:t>2. Architecture overview</w:t>
      </w:r>
    </w:p>
    <w:p>
      <w:pPr>
        <w:keepLines/>
        <w:numPr>
          <w:ilvl w:val="0"/>
          <w:numId w:val="10"/>
        </w:numPr>
        <w:spacing w:after="160" w:line="280" w:lineRule="auto"/>
      </w:pPr>
      <w:r>
        <w:rPr>
          <w:rFonts w:ascii="Calibri" w:hAnsi="Calibri" w:cs="Calibri"/>
        </w:rPr>
        <w:t>3. Repository and component design</w:t>
      </w:r>
    </w:p>
    <w:p>
      <w:pPr>
        <w:keepLines/>
        <w:numPr>
          <w:ilvl w:val="0"/>
          <w:numId w:val="10"/>
        </w:numPr>
        <w:spacing w:after="160" w:line="280" w:lineRule="auto"/>
      </w:pPr>
      <w:r>
        <w:rPr>
          <w:rFonts w:ascii="Calibri" w:hAnsi="Calibri" w:cs="Calibri"/>
        </w:rPr>
        <w:t>4. Frontend application design</w:t>
      </w:r>
    </w:p>
    <w:p>
      <w:pPr>
        <w:keepLines/>
        <w:numPr>
          <w:ilvl w:val="0"/>
          <w:numId w:val="10"/>
        </w:numPr>
        <w:spacing w:after="160" w:line="280" w:lineRule="auto"/>
      </w:pPr>
      <w:r>
        <w:rPr>
          <w:rFonts w:ascii="Calibri" w:hAnsi="Calibri" w:cs="Calibri"/>
        </w:rPr>
        <w:t>5. API and service design</w:t>
      </w:r>
    </w:p>
    <w:p>
      <w:pPr>
        <w:keepLines/>
        <w:numPr>
          <w:ilvl w:val="0"/>
          <w:numId w:val="10"/>
        </w:numPr>
        <w:spacing w:after="160" w:line="280" w:lineRule="auto"/>
      </w:pPr>
      <w:r>
        <w:rPr>
          <w:rFonts w:ascii="Calibri" w:hAnsi="Calibri" w:cs="Calibri"/>
        </w:rPr>
        <w:t>6. Data architecture</w:t>
      </w:r>
    </w:p>
    <w:p>
      <w:pPr>
        <w:keepLines/>
        <w:numPr>
          <w:ilvl w:val="0"/>
          <w:numId w:val="10"/>
        </w:numPr>
        <w:spacing w:after="160" w:line="280" w:lineRule="auto"/>
      </w:pPr>
      <w:r>
        <w:rPr>
          <w:rFonts w:ascii="Calibri" w:hAnsi="Calibri" w:cs="Calibri"/>
        </w:rPr>
        <w:t>7. Identity, tenancy, and access control</w:t>
      </w:r>
    </w:p>
    <w:p>
      <w:pPr>
        <w:keepLines/>
        <w:numPr>
          <w:ilvl w:val="0"/>
          <w:numId w:val="10"/>
        </w:numPr>
        <w:spacing w:after="160" w:line="280" w:lineRule="auto"/>
      </w:pPr>
      <w:r>
        <w:rPr>
          <w:rFonts w:ascii="Calibri" w:hAnsi="Calibri" w:cs="Calibri"/>
        </w:rPr>
        <w:t>8. Booking and operational workflows</w:t>
      </w:r>
    </w:p>
    <w:p>
      <w:pPr>
        <w:keepLines/>
        <w:numPr>
          <w:ilvl w:val="0"/>
          <w:numId w:val="10"/>
        </w:numPr>
        <w:spacing w:after="160" w:line="280" w:lineRule="auto"/>
      </w:pPr>
      <w:r>
        <w:rPr>
          <w:rFonts w:ascii="Calibri" w:hAnsi="Calibri" w:cs="Calibri"/>
        </w:rPr>
        <w:t>9. Commercial, subscription, and billing design</w:t>
      </w:r>
    </w:p>
    <w:p>
      <w:pPr>
        <w:keepLines/>
        <w:numPr>
          <w:ilvl w:val="0"/>
          <w:numId w:val="10"/>
        </w:numPr>
        <w:spacing w:after="160" w:line="280" w:lineRule="auto"/>
      </w:pPr>
      <w:r>
        <w:rPr>
          <w:rFonts w:ascii="Calibri" w:hAnsi="Calibri" w:cs="Calibri"/>
        </w:rPr>
        <w:t>10. Payments and financial integrations</w:t>
      </w:r>
    </w:p>
    <w:p>
      <w:pPr>
        <w:keepLines/>
        <w:numPr>
          <w:ilvl w:val="0"/>
          <w:numId w:val="10"/>
        </w:numPr>
        <w:spacing w:after="160" w:line="280" w:lineRule="auto"/>
      </w:pPr>
      <w:r>
        <w:rPr>
          <w:rFonts w:ascii="Calibri" w:hAnsi="Calibri" w:cs="Calibri"/>
        </w:rPr>
        <w:t>11. Notifications, realtime, and scheduled work</w:t>
      </w:r>
    </w:p>
    <w:p>
      <w:pPr>
        <w:keepLines/>
        <w:numPr>
          <w:ilvl w:val="0"/>
          <w:numId w:val="10"/>
        </w:numPr>
        <w:spacing w:after="160" w:line="280" w:lineRule="auto"/>
      </w:pPr>
      <w:r>
        <w:rPr>
          <w:rFonts w:ascii="Calibri" w:hAnsi="Calibri" w:cs="Calibri"/>
        </w:rPr>
        <w:t>12. Security and privacy</w:t>
      </w:r>
    </w:p>
    <w:p>
      <w:pPr>
        <w:keepLines/>
        <w:numPr>
          <w:ilvl w:val="0"/>
          <w:numId w:val="10"/>
        </w:numPr>
        <w:spacing w:after="160" w:line="280" w:lineRule="auto"/>
      </w:pPr>
      <w:r>
        <w:rPr>
          <w:rFonts w:ascii="Calibri" w:hAnsi="Calibri" w:cs="Calibri"/>
        </w:rPr>
        <w:t>13. Deployment, operations, and scalability</w:t>
      </w:r>
    </w:p>
    <w:p>
      <w:pPr>
        <w:keepLines/>
        <w:numPr>
          <w:ilvl w:val="0"/>
          <w:numId w:val="10"/>
        </w:numPr>
        <w:spacing w:after="160" w:line="280" w:lineRule="auto"/>
      </w:pPr>
      <w:r>
        <w:rPr>
          <w:rFonts w:ascii="Calibri" w:hAnsi="Calibri" w:cs="Calibri"/>
        </w:rPr>
        <w:t>14. Quality engineering and maintainability</w:t>
      </w:r>
    </w:p>
    <w:p>
      <w:pPr>
        <w:keepLines/>
        <w:numPr>
          <w:ilvl w:val="0"/>
          <w:numId w:val="10"/>
        </w:numPr>
        <w:spacing w:after="160" w:line="280" w:lineRule="auto"/>
      </w:pPr>
      <w:r>
        <w:rPr>
          <w:rFonts w:ascii="Calibri" w:hAnsi="Calibri" w:cs="Calibri"/>
        </w:rPr>
        <w:t>15. Risk register</w:t>
      </w:r>
    </w:p>
    <w:p>
      <w:pPr>
        <w:keepLines/>
        <w:numPr>
          <w:ilvl w:val="0"/>
          <w:numId w:val="10"/>
        </w:numPr>
        <w:spacing w:after="160" w:line="280" w:lineRule="auto"/>
      </w:pPr>
      <w:r>
        <w:rPr>
          <w:rFonts w:ascii="Calibri" w:hAnsi="Calibri" w:cs="Calibri"/>
        </w:rPr>
        <w:t>16. Production-readiness roadmap</w:t>
      </w:r>
    </w:p>
    <w:p>
      <w:pPr>
        <w:keepLines/>
        <w:numPr>
          <w:ilvl w:val="0"/>
          <w:numId w:val="10"/>
        </w:numPr>
        <w:spacing w:after="160" w:line="280" w:lineRule="auto"/>
      </w:pPr>
      <w:r>
        <w:rPr>
          <w:rFonts w:ascii="Calibri" w:hAnsi="Calibri" w:cs="Calibri"/>
        </w:rPr>
        <w:t>17. Investor claim discipline</w:t>
      </w:r>
    </w:p>
    <w:p>
      <w:pPr>
        <w:keepLines/>
        <w:numPr>
          <w:ilvl w:val="0"/>
          <w:numId w:val="10"/>
        </w:numPr>
        <w:spacing w:after="160" w:line="280" w:lineRule="auto"/>
      </w:pPr>
      <w:r>
        <w:rPr>
          <w:rFonts w:ascii="Calibri" w:hAnsi="Calibri" w:cs="Calibri"/>
        </w:rPr>
        <w:t>Appendices: technology stack, data-model catalog, API inventory, and evidence index</w:t>
      </w:r>
    </w:p>
    <w:p>
      <w:r>
        <w:br w:type="page"/>
      </w:r>
    </w:p>
    <w:p>
      <w:pPr>
        <w:pStyle w:val="Heading1"/>
      </w:pPr>
      <w:r>
        <w:t>1. Product and system scope</w:t>
      </w:r>
    </w:p>
    <w:p>
      <w:pPr>
        <w:keepLines w:val="0"/>
      </w:pPr>
      <w:r>
        <w:rPr>
          <w:rFonts w:ascii="Calibri" w:hAnsi="Calibri" w:cs="Calibri"/>
          <w:b w:val="0"/>
          <w:i w:val="0"/>
        </w:rPr>
        <w:t>RentalDriveGo is designed as a multi-tenant rental-management SaaS with a public marketplace and a separate platform-control plane. The code is strongly oriented to Moroccan operators: plan prices are denominated in MAD, Moroccan cities appear in marketplace data, and the user surfaces support English, French, and Arabic including right-to-left layouts.</w:t>
      </w:r>
    </w:p>
    <w:p>
      <w:pPr>
        <w:pStyle w:val="Heading2"/>
      </w:pPr>
      <w:r>
        <w:t>Primary user groups</w:t>
      </w:r>
    </w:p>
    <w:tbl>
      <w:tblPr>
        <w:tblW w:type="dxa" w:w="9360"/>
        <w:jc w:val="left"/>
        <w:tblLayout w:type="fixed"/>
        <w:tblLook w:firstColumn="1" w:firstRow="1" w:lastColumn="0" w:lastRow="0" w:noHBand="0" w:noVBand="1" w:val="04A0"/>
        <w:tblInd w:w="120" w:type="dxa"/>
        <w:tblBorders>
          <w:top w:val="single" w:sz="4" w:space="0" w:color="D0D5DD"/>
          <w:left w:val="single" w:sz="4" w:space="0" w:color="D0D5DD"/>
          <w:bottom w:val="single" w:sz="4" w:space="0" w:color="D0D5DD"/>
          <w:right w:val="single" w:sz="4" w:space="0" w:color="D0D5DD"/>
          <w:insideH w:val="single" w:sz="4" w:space="0" w:color="D0D5DD"/>
          <w:insideV w:val="single" w:sz="4" w:space="0" w:color="D0D5DD"/>
        </w:tblBorders>
      </w:tblPr>
      <w:tblGrid>
        <w:gridCol w:w="1700"/>
        <w:gridCol w:w="1450"/>
        <w:gridCol w:w="6210"/>
      </w:tblGrid>
      <w:tr>
        <w:trPr>
          <w:tblHeader w:val="true"/>
          <w:cantSplit/>
        </w:trPr>
        <w:tc>
          <w:tcPr>
            <w:tcW w:type="dxa" w:w="1700"/>
            <w:tcMar>
              <w:top w:w="80" w:type="dxa"/>
              <w:start w:w="120" w:type="dxa"/>
              <w:bottom w:w="80" w:type="dxa"/>
              <w:end w:w="120" w:type="dxa"/>
            </w:tcMar>
            <w:shd w:fill="F2F4F7"/>
            <w:vAlign w:val="center"/>
          </w:tcPr>
          <w:p>
            <w:pPr>
              <w:spacing w:before="0" w:after="0" w:line="252" w:lineRule="auto"/>
            </w:pPr>
            <w:r/>
            <w:r>
              <w:rPr>
                <w:rFonts w:ascii="Calibri" w:hAnsi="Calibri" w:cs="Calibri"/>
                <w:b/>
                <w:color w:val="0B2545"/>
                <w:sz w:val="18"/>
              </w:rPr>
              <w:t>Actor</w:t>
            </w:r>
          </w:p>
        </w:tc>
        <w:tc>
          <w:tcPr>
            <w:tcW w:type="dxa" w:w="1450"/>
            <w:tcMar>
              <w:top w:w="80" w:type="dxa"/>
              <w:start w:w="120" w:type="dxa"/>
              <w:bottom w:w="80" w:type="dxa"/>
              <w:end w:w="120" w:type="dxa"/>
            </w:tcMar>
            <w:shd w:fill="F2F4F7"/>
            <w:vAlign w:val="center"/>
          </w:tcPr>
          <w:p>
            <w:pPr>
              <w:spacing w:before="0" w:after="0" w:line="252" w:lineRule="auto"/>
            </w:pPr>
            <w:r/>
            <w:r>
              <w:rPr>
                <w:rFonts w:ascii="Calibri" w:hAnsi="Calibri" w:cs="Calibri"/>
                <w:b/>
                <w:color w:val="0B2545"/>
                <w:sz w:val="18"/>
              </w:rPr>
              <w:t>Primary surface</w:t>
            </w:r>
          </w:p>
        </w:tc>
        <w:tc>
          <w:tcPr>
            <w:tcW w:type="dxa" w:w="6210"/>
            <w:tcMar>
              <w:top w:w="80" w:type="dxa"/>
              <w:start w:w="120" w:type="dxa"/>
              <w:bottom w:w="80" w:type="dxa"/>
              <w:end w:w="120" w:type="dxa"/>
            </w:tcMar>
            <w:shd w:fill="F2F4F7"/>
            <w:vAlign w:val="center"/>
          </w:tcPr>
          <w:p>
            <w:pPr>
              <w:spacing w:before="0" w:after="0" w:line="252" w:lineRule="auto"/>
            </w:pPr>
            <w:r/>
            <w:r>
              <w:rPr>
                <w:rFonts w:ascii="Calibri" w:hAnsi="Calibri" w:cs="Calibri"/>
                <w:b/>
                <w:color w:val="0B2545"/>
                <w:sz w:val="18"/>
              </w:rPr>
              <w:t>Capabilities evidenced</w:t>
            </w:r>
          </w:p>
        </w:tc>
      </w:tr>
      <w:tr>
        <w:trPr>
          <w:cantSplit/>
        </w:trPr>
        <w:tc>
          <w:tcPr>
            <w:tcW w:type="dxa" w:w="17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Prospect / public visitor</w:t>
            </w:r>
          </w:p>
        </w:tc>
        <w:tc>
          <w:tcPr>
            <w:tcW w:type="dxa" w:w="145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Homepage</w:t>
            </w:r>
          </w:p>
        </w:tc>
        <w:tc>
          <w:tcPr>
            <w:tcW w:type="dxa" w:w="621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Product education, comparison, pricing, trust/security, FAQ, sign-in entry, and conversion calls to action.</w:t>
            </w:r>
          </w:p>
        </w:tc>
      </w:tr>
      <w:tr>
        <w:trPr>
          <w:cantSplit/>
        </w:trPr>
        <w:tc>
          <w:tcPr>
            <w:tcW w:type="dxa" w:w="17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Guest renter</w:t>
            </w:r>
          </w:p>
        </w:tc>
        <w:tc>
          <w:tcPr>
            <w:tcW w:type="dxa" w:w="145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Carplace</w:t>
            </w:r>
          </w:p>
        </w:tc>
        <w:tc>
          <w:tcPr>
            <w:tcW w:type="dxa" w:w="621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Cross-tenant vehicle discovery, company and vehicle detail, date selection, quote/review steps, and booking request.</w:t>
            </w:r>
          </w:p>
        </w:tc>
      </w:tr>
      <w:tr>
        <w:trPr>
          <w:cantSplit/>
        </w:trPr>
        <w:tc>
          <w:tcPr>
            <w:tcW w:type="dxa" w:w="17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Tenant employee</w:t>
            </w:r>
          </w:p>
        </w:tc>
        <w:tc>
          <w:tcPr>
            <w:tcW w:type="dxa" w:w="145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Dashboard</w:t>
            </w:r>
          </w:p>
        </w:tc>
        <w:tc>
          <w:tcPr>
            <w:tcW w:type="dxa" w:w="621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Fleet, customers, reservations, contracts, billing, offers, team, reports, reviews, complaints, notifications, settings, and subscription.</w:t>
            </w:r>
          </w:p>
        </w:tc>
      </w:tr>
      <w:tr>
        <w:trPr>
          <w:cantSplit/>
        </w:trPr>
        <w:tc>
          <w:tcPr>
            <w:tcW w:type="dxa" w:w="17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Platform administrator</w:t>
            </w:r>
          </w:p>
        </w:tc>
        <w:tc>
          <w:tcPr>
            <w:tcW w:type="dxa" w:w="145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Admin</w:t>
            </w:r>
          </w:p>
        </w:tc>
        <w:tc>
          <w:tcPr>
            <w:tcW w:type="dxa" w:w="621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Companies, renter accounts, admin users, audit logs, pricing, billing, menu configuration, notifications, and site configuration.</w:t>
            </w:r>
          </w:p>
        </w:tc>
      </w:tr>
      <w:tr>
        <w:trPr>
          <w:cantSplit/>
        </w:trPr>
        <w:tc>
          <w:tcPr>
            <w:tcW w:type="dxa" w:w="17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API consumer</w:t>
            </w:r>
          </w:p>
        </w:tc>
        <w:tc>
          <w:tcPr>
            <w:tcW w:type="dxa" w:w="145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Express API</w:t>
            </w:r>
          </w:p>
        </w:tc>
        <w:tc>
          <w:tcPr>
            <w:tcW w:type="dxa" w:w="621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Cookie or bearer access; selected API-key access; domain APIs and signed webhook entry points.</w:t>
            </w:r>
          </w:p>
        </w:tc>
      </w:tr>
    </w:tbl>
    <w:p>
      <w:pPr>
        <w:spacing w:after="20"/>
      </w:pPr>
    </w:p>
    <w:p>
      <w:r>
        <w:br w:type="page"/>
      </w:r>
    </w:p>
    <w:p>
      <w:pPr>
        <w:pStyle w:val="Heading2"/>
      </w:pPr>
      <w:r>
        <w:t>Product boundary</w:t>
      </w:r>
    </w:p>
    <w:p>
      <w:pPr>
        <w:keepLines w:val="0"/>
      </w:pPr>
      <w:r>
        <w:rPr>
          <w:rFonts w:ascii="Calibri" w:hAnsi="Calibri" w:cs="Calibri"/>
          <w:b w:val="0"/>
          <w:i w:val="0"/>
        </w:rPr>
        <w:t>The product is broader than fleet inventory. Its database and route surface cover the rental lifecycle from acquisition and discovery through reservation, payment, documents, handover evidence, damage, review, complaint, notification, subscription, and platform administration. This breadth is commercially useful, but it also increases the number of workflows that must be made operationally reliable before general availability.</w:t>
      </w:r>
    </w:p>
    <w:p>
      <w:pPr>
        <w:keepLines/>
        <w:spacing w:before="100" w:after="200"/>
        <w:ind w:left="173" w:right="115"/>
        <w:shd w:fill="E8EEF5"/>
        <w:pBdr>
          <w:left w:val="single" w:sz="20" w:space="8" w:color="2E74B5"/>
        </w:pBdr>
      </w:pPr>
      <w:r>
        <w:rPr>
          <w:rFonts w:ascii="Calibri" w:hAnsi="Calibri" w:cs="Calibri"/>
          <w:b/>
          <w:color w:val="2E74B5"/>
        </w:rPr>
        <w:t xml:space="preserve">Positioning discipline  </w:t>
      </w:r>
      <w:r>
        <w:rPr>
          <w:rFonts w:ascii="Calibri" w:hAnsi="Calibri" w:cs="Calibri"/>
          <w:color w:val="101828"/>
        </w:rPr>
        <w:t>The implementation supports a “rental operating system with marketplace distribution” message. It does not yet support claims of completed KYC/identity verification, guaranteed omnichannel notification delivery, per-tenant container isolation, or proven high availability.</w:t>
      </w:r>
    </w:p>
    <w:p>
      <w:pPr>
        <w:pStyle w:val="Heading2"/>
      </w:pPr>
      <w:r>
        <w:t>Codebase scale</w:t>
      </w:r>
    </w:p>
    <w:tbl>
      <w:tblPr>
        <w:tblW w:type="dxa" w:w="9360"/>
        <w:jc w:val="left"/>
        <w:tblLayout w:type="fixed"/>
        <w:tblLook w:firstColumn="1" w:firstRow="1" w:lastColumn="0" w:lastRow="0" w:noHBand="0" w:noVBand="1" w:val="04A0"/>
        <w:tblInd w:w="120" w:type="dxa"/>
        <w:tblBorders>
          <w:top w:val="single" w:sz="4" w:space="0" w:color="D0D5DD"/>
          <w:left w:val="single" w:sz="4" w:space="0" w:color="D0D5DD"/>
          <w:bottom w:val="single" w:sz="4" w:space="0" w:color="D0D5DD"/>
          <w:right w:val="single" w:sz="4" w:space="0" w:color="D0D5DD"/>
          <w:insideH w:val="single" w:sz="4" w:space="0" w:color="D0D5DD"/>
          <w:insideV w:val="single" w:sz="4" w:space="0" w:color="D0D5DD"/>
        </w:tblBorders>
      </w:tblPr>
      <w:tblGrid>
        <w:gridCol w:w="2150"/>
        <w:gridCol w:w="1450"/>
        <w:gridCol w:w="5760"/>
      </w:tblGrid>
      <w:tr>
        <w:trPr>
          <w:tblHeader w:val="true"/>
          <w:cantSplit/>
        </w:trPr>
        <w:tc>
          <w:tcPr>
            <w:tcW w:type="dxa" w:w="2150"/>
            <w:tcMar>
              <w:top w:w="80" w:type="dxa"/>
              <w:start w:w="120" w:type="dxa"/>
              <w:bottom w:w="80" w:type="dxa"/>
              <w:end w:w="120" w:type="dxa"/>
            </w:tcMar>
            <w:shd w:fill="F2F4F7"/>
            <w:vAlign w:val="center"/>
          </w:tcPr>
          <w:p>
            <w:pPr>
              <w:spacing w:before="0" w:after="0" w:line="252" w:lineRule="auto"/>
            </w:pPr>
            <w:r/>
            <w:r>
              <w:rPr>
                <w:rFonts w:ascii="Calibri" w:hAnsi="Calibri" w:cs="Calibri"/>
                <w:b/>
                <w:color w:val="0B2545"/>
                <w:sz w:val="18"/>
              </w:rPr>
              <w:t>Measure</w:t>
            </w:r>
          </w:p>
        </w:tc>
        <w:tc>
          <w:tcPr>
            <w:tcW w:type="dxa" w:w="1450"/>
            <w:tcMar>
              <w:top w:w="80" w:type="dxa"/>
              <w:start w:w="120" w:type="dxa"/>
              <w:bottom w:w="80" w:type="dxa"/>
              <w:end w:w="120" w:type="dxa"/>
            </w:tcMar>
            <w:shd w:fill="F2F4F7"/>
            <w:vAlign w:val="center"/>
          </w:tcPr>
          <w:p>
            <w:pPr>
              <w:spacing w:before="0" w:after="0" w:line="252" w:lineRule="auto"/>
            </w:pPr>
            <w:r/>
            <w:r>
              <w:rPr>
                <w:rFonts w:ascii="Calibri" w:hAnsi="Calibri" w:cs="Calibri"/>
                <w:b/>
                <w:color w:val="0B2545"/>
                <w:sz w:val="18"/>
              </w:rPr>
              <w:t>Verified value</w:t>
            </w:r>
          </w:p>
        </w:tc>
        <w:tc>
          <w:tcPr>
            <w:tcW w:type="dxa" w:w="5760"/>
            <w:tcMar>
              <w:top w:w="80" w:type="dxa"/>
              <w:start w:w="120" w:type="dxa"/>
              <w:bottom w:w="80" w:type="dxa"/>
              <w:end w:w="120" w:type="dxa"/>
            </w:tcMar>
            <w:shd w:fill="F2F4F7"/>
            <w:vAlign w:val="center"/>
          </w:tcPr>
          <w:p>
            <w:pPr>
              <w:spacing w:before="0" w:after="0" w:line="252" w:lineRule="auto"/>
            </w:pPr>
            <w:r/>
            <w:r>
              <w:rPr>
                <w:rFonts w:ascii="Calibri" w:hAnsi="Calibri" w:cs="Calibri"/>
                <w:b/>
                <w:color w:val="0B2545"/>
                <w:sz w:val="18"/>
              </w:rPr>
              <w:t>Interpretation</w:t>
            </w:r>
          </w:p>
        </w:tc>
      </w:tr>
      <w:tr>
        <w:trPr>
          <w:cantSplit/>
        </w:trPr>
        <w:tc>
          <w:tcPr>
            <w:tcW w:type="dxa" w:w="215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Product source</w:t>
            </w:r>
          </w:p>
        </w:tc>
        <w:tc>
          <w:tcPr>
            <w:tcW w:type="dxa" w:w="145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≈66,483 lines</w:t>
            </w:r>
          </w:p>
        </w:tc>
        <w:tc>
          <w:tcPr>
            <w:tcW w:type="dxa" w:w="576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Excludes tests and generated code; includes application code, shared types, and Prisma schema.</w:t>
            </w:r>
          </w:p>
        </w:tc>
      </w:tr>
      <w:tr>
        <w:trPr>
          <w:cantSplit/>
        </w:trPr>
        <w:tc>
          <w:tcPr>
            <w:tcW w:type="dxa" w:w="215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Test source</w:t>
            </w:r>
          </w:p>
        </w:tc>
        <w:tc>
          <w:tcPr>
            <w:tcW w:type="dxa" w:w="145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≈22,716 lines</w:t>
            </w:r>
          </w:p>
        </w:tc>
        <w:tc>
          <w:tcPr>
            <w:tcW w:type="dxa" w:w="576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A meaningful testing investment, although execution is not cleanly reproducible from the package.</w:t>
            </w:r>
          </w:p>
        </w:tc>
      </w:tr>
      <w:tr>
        <w:trPr>
          <w:cantSplit/>
        </w:trPr>
        <w:tc>
          <w:tcPr>
            <w:tcW w:type="dxa" w:w="215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Test files</w:t>
            </w:r>
          </w:p>
        </w:tc>
        <w:tc>
          <w:tcPr>
            <w:tcW w:type="dxa" w:w="145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266</w:t>
            </w:r>
          </w:p>
        </w:tc>
        <w:tc>
          <w:tcPr>
            <w:tcW w:type="dxa" w:w="576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185 are within the API; frontend tests cover components, hooks, middleware/proxy behavior, and content.</w:t>
            </w:r>
          </w:p>
        </w:tc>
      </w:tr>
      <w:tr>
        <w:trPr>
          <w:cantSplit/>
        </w:trPr>
        <w:tc>
          <w:tcPr>
            <w:tcW w:type="dxa" w:w="215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API handlers</w:t>
            </w:r>
          </w:p>
        </w:tc>
        <w:tc>
          <w:tcPr>
            <w:tcW w:type="dxa" w:w="145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268</w:t>
            </w:r>
          </w:p>
        </w:tc>
        <w:tc>
          <w:tcPr>
            <w:tcW w:type="dxa" w:w="576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Runtime HTTP method registrations across 21 domain areas.</w:t>
            </w:r>
          </w:p>
        </w:tc>
      </w:tr>
      <w:tr>
        <w:trPr>
          <w:cantSplit/>
        </w:trPr>
        <w:tc>
          <w:tcPr>
            <w:tcW w:type="dxa" w:w="215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Documented operations</w:t>
            </w:r>
          </w:p>
        </w:tc>
        <w:tc>
          <w:tcPr>
            <w:tcW w:type="dxa" w:w="145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158</w:t>
            </w:r>
          </w:p>
        </w:tc>
        <w:tc>
          <w:tcPr>
            <w:tcW w:type="dxa" w:w="576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Manual OpenAPI coverage is approximately 59% of runtime handlers.</w:t>
            </w:r>
          </w:p>
        </w:tc>
      </w:tr>
      <w:tr>
        <w:trPr>
          <w:cantSplit/>
        </w:trPr>
        <w:tc>
          <w:tcPr>
            <w:tcW w:type="dxa" w:w="215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Database models / enums</w:t>
            </w:r>
          </w:p>
        </w:tc>
        <w:tc>
          <w:tcPr>
            <w:tcW w:type="dxa" w:w="145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67 / 60</w:t>
            </w:r>
          </w:p>
        </w:tc>
        <w:tc>
          <w:tcPr>
            <w:tcW w:type="dxa" w:w="576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Substantial domain and state representation.</w:t>
            </w:r>
          </w:p>
        </w:tc>
      </w:tr>
      <w:tr>
        <w:trPr>
          <w:cantSplit/>
        </w:trPr>
        <w:tc>
          <w:tcPr>
            <w:tcW w:type="dxa" w:w="215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Migration directories</w:t>
            </w:r>
          </w:p>
        </w:tc>
        <w:tc>
          <w:tcPr>
            <w:tcW w:type="dxa" w:w="145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49</w:t>
            </w:r>
          </w:p>
        </w:tc>
        <w:tc>
          <w:tcPr>
            <w:tcW w:type="dxa" w:w="576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Shows an evolved schema rather than a single initial design.</w:t>
            </w:r>
          </w:p>
        </w:tc>
      </w:tr>
    </w:tbl>
    <w:p>
      <w:pPr>
        <w:spacing w:after="20"/>
      </w:pPr>
    </w:p>
    <w:p>
      <w:pPr>
        <w:pStyle w:val="Heading1"/>
      </w:pPr>
      <w:r>
        <w:t>2. Architecture overview</w:t>
      </w:r>
    </w:p>
    <w:p>
      <w:pPr>
        <w:keepLines/>
        <w:spacing w:before="120" w:after="40"/>
        <w:jc w:val="center"/>
      </w:pPr>
      <w:r>
        <w:drawing>
          <wp:inline xmlns:a="http://schemas.openxmlformats.org/drawingml/2006/main" xmlns:pic="http://schemas.openxmlformats.org/drawingml/2006/picture">
            <wp:extent cx="5760720" cy="3392424"/>
            <wp:docPr id="1" name="Picture 1" descr="Figure 1. Verified logical topology derived from Next.js rewrite/base-path configuration and API dependencies." title="Runtime Topology"/>
            <wp:cNvGraphicFramePr>
              <a:graphicFrameLocks noChangeAspect="1"/>
            </wp:cNvGraphicFramePr>
            <a:graphic>
              <a:graphicData uri="http://schemas.openxmlformats.org/drawingml/2006/picture">
                <pic:pic>
                  <pic:nvPicPr>
                    <pic:cNvPr id="0" name="runtime_topology.png"/>
                    <pic:cNvPicPr/>
                  </pic:nvPicPr>
                  <pic:blipFill>
                    <a:blip r:embed="rId11"/>
                    <a:stretch>
                      <a:fillRect/>
                    </a:stretch>
                  </pic:blipFill>
                  <pic:spPr>
                    <a:xfrm>
                      <a:off x="0" y="0"/>
                      <a:ext cx="5760720" cy="3392424"/>
                    </a:xfrm>
                    <a:prstGeom prst="rect"/>
                  </pic:spPr>
                </pic:pic>
              </a:graphicData>
            </a:graphic>
          </wp:inline>
        </w:drawing>
      </w:r>
    </w:p>
    <w:p>
      <w:pPr>
        <w:pStyle w:val="Caption"/>
        <w:keepNext w:val="0"/>
      </w:pPr>
      <w:r>
        <w:t>Figure 1. Verified logical topology derived from Next.js rewrite/base-path configuration and API dependencies.</w:t>
      </w:r>
    </w:p>
    <w:p>
      <w:pPr>
        <w:keepLines w:val="0"/>
      </w:pPr>
      <w:r>
        <w:rPr>
          <w:rFonts w:ascii="Calibri" w:hAnsi="Calibri" w:cs="Calibri"/>
          <w:b w:val="0"/>
          <w:i w:val="0"/>
        </w:rPr>
        <w:t>The correct architectural label is a multi-application monorepo with a modular monolith backend. Each Next.js application can run as its own process and serves a distinct audience, while the Express API centralizes most business logic and persists to a shared PostgreSQL database. The homepage also behaves as the public edge by rewriting path prefixes to the other applications and the API.</w:t>
      </w:r>
    </w:p>
    <w:p>
      <w:pPr>
        <w:pStyle w:val="Heading2"/>
      </w:pPr>
      <w:r>
        <w:t>Deployment units</w:t>
      </w:r>
    </w:p>
    <w:tbl>
      <w:tblPr>
        <w:tblW w:type="dxa" w:w="9360"/>
        <w:jc w:val="left"/>
        <w:tblLayout w:type="fixed"/>
        <w:tblLook w:firstColumn="1" w:firstRow="1" w:lastColumn="0" w:lastRow="0" w:noHBand="0" w:noVBand="1" w:val="04A0"/>
        <w:tblInd w:w="120" w:type="dxa"/>
        <w:tblBorders>
          <w:top w:val="single" w:sz="4" w:space="0" w:color="D0D5DD"/>
          <w:left w:val="single" w:sz="4" w:space="0" w:color="D0D5DD"/>
          <w:bottom w:val="single" w:sz="4" w:space="0" w:color="D0D5DD"/>
          <w:right w:val="single" w:sz="4" w:space="0" w:color="D0D5DD"/>
          <w:insideH w:val="single" w:sz="4" w:space="0" w:color="D0D5DD"/>
          <w:insideV w:val="single" w:sz="4" w:space="0" w:color="D0D5DD"/>
        </w:tblBorders>
      </w:tblPr>
      <w:tblGrid>
        <w:gridCol w:w="1350"/>
        <w:gridCol w:w="1500"/>
        <w:gridCol w:w="3830"/>
        <w:gridCol w:w="2680"/>
      </w:tblGrid>
      <w:tr>
        <w:trPr>
          <w:tblHeader w:val="true"/>
          <w:cantSplit/>
        </w:trPr>
        <w:tc>
          <w:tcPr>
            <w:tcW w:type="dxa" w:w="1350"/>
            <w:tcMar>
              <w:top w:w="80" w:type="dxa"/>
              <w:start w:w="120" w:type="dxa"/>
              <w:bottom w:w="80" w:type="dxa"/>
              <w:end w:w="120" w:type="dxa"/>
            </w:tcMar>
            <w:shd w:fill="F2F4F7"/>
            <w:vAlign w:val="center"/>
          </w:tcPr>
          <w:p>
            <w:pPr>
              <w:spacing w:before="0" w:after="0" w:line="252" w:lineRule="auto"/>
            </w:pPr>
            <w:r/>
            <w:r>
              <w:rPr>
                <w:rFonts w:ascii="Calibri" w:hAnsi="Calibri" w:cs="Calibri"/>
                <w:b/>
                <w:color w:val="0B2545"/>
                <w:sz w:val="17"/>
              </w:rPr>
              <w:t>Unit</w:t>
            </w:r>
          </w:p>
        </w:tc>
        <w:tc>
          <w:tcPr>
            <w:tcW w:type="dxa" w:w="1500"/>
            <w:tcMar>
              <w:top w:w="80" w:type="dxa"/>
              <w:start w:w="120" w:type="dxa"/>
              <w:bottom w:w="80" w:type="dxa"/>
              <w:end w:w="120" w:type="dxa"/>
            </w:tcMar>
            <w:shd w:fill="F2F4F7"/>
            <w:vAlign w:val="center"/>
          </w:tcPr>
          <w:p>
            <w:pPr>
              <w:spacing w:before="0" w:after="0" w:line="252" w:lineRule="auto"/>
            </w:pPr>
            <w:r/>
            <w:r>
              <w:rPr>
                <w:rFonts w:ascii="Calibri" w:hAnsi="Calibri" w:cs="Calibri"/>
                <w:b/>
                <w:color w:val="0B2545"/>
                <w:sz w:val="17"/>
              </w:rPr>
              <w:t>Default path / port</w:t>
            </w:r>
          </w:p>
        </w:tc>
        <w:tc>
          <w:tcPr>
            <w:tcW w:type="dxa" w:w="3830"/>
            <w:tcMar>
              <w:top w:w="80" w:type="dxa"/>
              <w:start w:w="120" w:type="dxa"/>
              <w:bottom w:w="80" w:type="dxa"/>
              <w:end w:w="120" w:type="dxa"/>
            </w:tcMar>
            <w:shd w:fill="F2F4F7"/>
            <w:vAlign w:val="center"/>
          </w:tcPr>
          <w:p>
            <w:pPr>
              <w:spacing w:before="0" w:after="0" w:line="252" w:lineRule="auto"/>
            </w:pPr>
            <w:r/>
            <w:r>
              <w:rPr>
                <w:rFonts w:ascii="Calibri" w:hAnsi="Calibri" w:cs="Calibri"/>
                <w:b/>
                <w:color w:val="0B2545"/>
                <w:sz w:val="17"/>
              </w:rPr>
              <w:t>Responsibility</w:t>
            </w:r>
          </w:p>
        </w:tc>
        <w:tc>
          <w:tcPr>
            <w:tcW w:type="dxa" w:w="2680"/>
            <w:tcMar>
              <w:top w:w="80" w:type="dxa"/>
              <w:start w:w="120" w:type="dxa"/>
              <w:bottom w:w="80" w:type="dxa"/>
              <w:end w:w="120" w:type="dxa"/>
            </w:tcMar>
            <w:shd w:fill="F2F4F7"/>
            <w:vAlign w:val="center"/>
          </w:tcPr>
          <w:p>
            <w:pPr>
              <w:spacing w:before="0" w:after="0" w:line="252" w:lineRule="auto"/>
            </w:pPr>
            <w:r/>
            <w:r>
              <w:rPr>
                <w:rFonts w:ascii="Calibri" w:hAnsi="Calibri" w:cs="Calibri"/>
                <w:b/>
                <w:color w:val="0B2545"/>
                <w:sz w:val="17"/>
              </w:rPr>
              <w:t>State</w:t>
            </w:r>
          </w:p>
        </w:tc>
      </w:tr>
      <w:tr>
        <w:trPr>
          <w:cantSplit/>
        </w:trPr>
        <w:tc>
          <w:tcPr>
            <w:tcW w:type="dxa" w:w="135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Homepage</w:t>
            </w:r>
          </w:p>
        </w:tc>
        <w:tc>
          <w:tcPr>
            <w:tcW w:type="dxa" w:w="15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 • 3000</w:t>
            </w:r>
          </w:p>
        </w:tc>
        <w:tc>
          <w:tcPr>
            <w:tcW w:type="dxa" w:w="383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Marketing, sign-in, public edge rewrites</w:t>
            </w:r>
          </w:p>
        </w:tc>
        <w:tc>
          <w:tcPr>
            <w:tcW w:type="dxa" w:w="268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Stateless UI; proxy configuration</w:t>
            </w:r>
          </w:p>
        </w:tc>
      </w:tr>
      <w:tr>
        <w:trPr>
          <w:cantSplit/>
        </w:trPr>
        <w:tc>
          <w:tcPr>
            <w:tcW w:type="dxa" w:w="135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Dashboard</w:t>
            </w:r>
          </w:p>
        </w:tc>
        <w:tc>
          <w:tcPr>
            <w:tcW w:type="dxa" w:w="15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/dashboard • 3001</w:t>
            </w:r>
          </w:p>
        </w:tc>
        <w:tc>
          <w:tcPr>
            <w:tcW w:type="dxa" w:w="383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Tenant operations</w:t>
            </w:r>
          </w:p>
        </w:tc>
        <w:tc>
          <w:tcPr>
            <w:tcW w:type="dxa" w:w="268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HttpOnly employee session cookie; API proxy</w:t>
            </w:r>
          </w:p>
        </w:tc>
      </w:tr>
      <w:tr>
        <w:trPr>
          <w:cantSplit/>
        </w:trPr>
        <w:tc>
          <w:tcPr>
            <w:tcW w:type="dxa" w:w="135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Admin</w:t>
            </w:r>
          </w:p>
        </w:tc>
        <w:tc>
          <w:tcPr>
            <w:tcW w:type="dxa" w:w="15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/admin • 3002</w:t>
            </w:r>
          </w:p>
        </w:tc>
        <w:tc>
          <w:tcPr>
            <w:tcW w:type="dxa" w:w="383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Platform operations</w:t>
            </w:r>
          </w:p>
        </w:tc>
        <w:tc>
          <w:tcPr>
            <w:tcW w:type="dxa" w:w="268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Admin cookie/session; API-backed state</w:t>
            </w:r>
          </w:p>
        </w:tc>
      </w:tr>
      <w:tr>
        <w:trPr>
          <w:cantSplit/>
        </w:trPr>
        <w:tc>
          <w:tcPr>
            <w:tcW w:type="dxa" w:w="135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Carplace</w:t>
            </w:r>
          </w:p>
        </w:tc>
        <w:tc>
          <w:tcPr>
            <w:tcW w:type="dxa" w:w="15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/carplace • 3004</w:t>
            </w:r>
          </w:p>
        </w:tc>
        <w:tc>
          <w:tcPr>
            <w:tcW w:type="dxa" w:w="383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Public marketplace</w:t>
            </w:r>
          </w:p>
        </w:tc>
        <w:tc>
          <w:tcPr>
            <w:tcW w:type="dxa" w:w="268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Guest/browser state; API-backed records</w:t>
            </w:r>
          </w:p>
        </w:tc>
      </w:tr>
      <w:tr>
        <w:trPr>
          <w:cantSplit/>
        </w:trPr>
        <w:tc>
          <w:tcPr>
            <w:tcW w:type="dxa" w:w="135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API</w:t>
            </w:r>
          </w:p>
        </w:tc>
        <w:tc>
          <w:tcPr>
            <w:tcW w:type="dxa" w:w="15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/api/v1 • 4000</w:t>
            </w:r>
          </w:p>
        </w:tc>
        <w:tc>
          <w:tcPr>
            <w:tcW w:type="dxa" w:w="383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Business rules, auth, data, providers, realtime, jobs</w:t>
            </w:r>
          </w:p>
        </w:tc>
        <w:tc>
          <w:tcPr>
            <w:tcW w:type="dxa" w:w="268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Stateful through DB, Redis, files, in-process maps and schedules</w:t>
            </w:r>
          </w:p>
        </w:tc>
      </w:tr>
      <w:tr>
        <w:trPr>
          <w:cantSplit/>
        </w:trPr>
        <w:tc>
          <w:tcPr>
            <w:tcW w:type="dxa" w:w="135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PostgreSQL</w:t>
            </w:r>
          </w:p>
        </w:tc>
        <w:tc>
          <w:tcPr>
            <w:tcW w:type="dxa" w:w="15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Infrastructure</w:t>
            </w:r>
          </w:p>
        </w:tc>
        <w:tc>
          <w:tcPr>
            <w:tcW w:type="dxa" w:w="383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System of record</w:t>
            </w:r>
          </w:p>
        </w:tc>
        <w:tc>
          <w:tcPr>
            <w:tcW w:type="dxa" w:w="268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Shared relational state</w:t>
            </w:r>
          </w:p>
        </w:tc>
      </w:tr>
      <w:tr>
        <w:trPr>
          <w:cantSplit/>
        </w:trPr>
        <w:tc>
          <w:tcPr>
            <w:tcW w:type="dxa" w:w="135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Redis</w:t>
            </w:r>
          </w:p>
        </w:tc>
        <w:tc>
          <w:tcPr>
            <w:tcW w:type="dxa" w:w="15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Infrastructure</w:t>
            </w:r>
          </w:p>
        </w:tc>
        <w:tc>
          <w:tcPr>
            <w:tcW w:type="dxa" w:w="383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Notification pub/sub</w:t>
            </w:r>
          </w:p>
        </w:tc>
        <w:tc>
          <w:tcPr>
            <w:tcW w:type="dxa" w:w="268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Shared ephemeral channel; not used for all coordination</w:t>
            </w:r>
          </w:p>
        </w:tc>
      </w:tr>
      <w:tr>
        <w:trPr>
          <w:cantSplit/>
        </w:trPr>
        <w:tc>
          <w:tcPr>
            <w:tcW w:type="dxa" w:w="135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File root</w:t>
            </w:r>
          </w:p>
        </w:tc>
        <w:tc>
          <w:tcPr>
            <w:tcW w:type="dxa" w:w="15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Mounted filesystem</w:t>
            </w:r>
          </w:p>
        </w:tc>
        <w:tc>
          <w:tcPr>
            <w:tcW w:type="dxa" w:w="383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Public and private uploads/documents</w:t>
            </w:r>
          </w:p>
        </w:tc>
        <w:tc>
          <w:tcPr>
            <w:tcW w:type="dxa" w:w="268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Node-visible local/shared path required</w:t>
            </w:r>
          </w:p>
        </w:tc>
      </w:tr>
    </w:tbl>
    <w:p>
      <w:pPr>
        <w:spacing w:after="20"/>
      </w:pPr>
    </w:p>
    <w:p>
      <w:pPr>
        <w:pStyle w:val="Heading2"/>
      </w:pPr>
      <w:r>
        <w:t>Why this shape is reasonable now</w:t>
      </w:r>
    </w:p>
    <w:p>
      <w:pPr>
        <w:keepLines/>
        <w:numPr>
          <w:ilvl w:val="0"/>
          <w:numId w:val="10"/>
        </w:numPr>
        <w:spacing w:after="160" w:line="280" w:lineRule="auto"/>
      </w:pPr>
      <w:r>
        <w:rPr>
          <w:rFonts w:ascii="Calibri" w:hAnsi="Calibri" w:cs="Calibri"/>
        </w:rPr>
        <w:t>The domain is transactional and relational; one API and one database simplify consistency across reservation, pricing, payment, and document flows.</w:t>
      </w:r>
    </w:p>
    <w:p>
      <w:pPr>
        <w:keepLines/>
        <w:numPr>
          <w:ilvl w:val="0"/>
          <w:numId w:val="10"/>
        </w:numPr>
        <w:spacing w:after="160" w:line="280" w:lineRule="auto"/>
      </w:pPr>
      <w:r>
        <w:rPr>
          <w:rFonts w:ascii="Calibri" w:hAnsi="Calibri" w:cs="Calibri"/>
        </w:rPr>
        <w:t>Separate audience-facing frontends isolate navigation and release concerns without introducing cross-service transaction complexity.</w:t>
      </w:r>
    </w:p>
    <w:p>
      <w:pPr>
        <w:keepLines/>
        <w:numPr>
          <w:ilvl w:val="0"/>
          <w:numId w:val="10"/>
        </w:numPr>
        <w:spacing w:after="160" w:line="280" w:lineRule="auto"/>
      </w:pPr>
      <w:r>
        <w:rPr>
          <w:rFonts w:ascii="Calibri" w:hAnsi="Calibri" w:cs="Calibri"/>
        </w:rPr>
        <w:t>Module-level route/schema/service/repository separation creates a path to future extraction if measured load, compliance, or team ownership justifies it.</w:t>
      </w:r>
    </w:p>
    <w:p>
      <w:pPr>
        <w:pStyle w:val="Heading2"/>
      </w:pPr>
      <w:r>
        <w:t>Where the shape becomes unsafe</w:t>
      </w:r>
    </w:p>
    <w:p>
      <w:pPr>
        <w:keepLines/>
        <w:numPr>
          <w:ilvl w:val="0"/>
          <w:numId w:val="10"/>
        </w:numPr>
        <w:spacing w:after="160" w:line="280" w:lineRule="auto"/>
      </w:pPr>
      <w:r>
        <w:rPr>
          <w:rFonts w:ascii="Calibri" w:hAnsi="Calibri" w:cs="Calibri"/>
        </w:rPr>
        <w:t>Any API replica starts the same node-cron schedules, so multiple replicas can duplicate time-based work unless each operation is strongly idempotent or leadership is externalized.</w:t>
      </w:r>
    </w:p>
    <w:p>
      <w:pPr>
        <w:keepLines/>
        <w:numPr>
          <w:ilvl w:val="0"/>
          <w:numId w:val="10"/>
        </w:numPr>
        <w:spacing w:after="160" w:line="280" w:lineRule="auto"/>
      </w:pPr>
      <w:r>
        <w:rPr>
          <w:rFonts w:ascii="Calibri" w:hAnsi="Calibri" w:cs="Calibri"/>
        </w:rPr>
        <w:t>Local filesystem storage and process-memory coordination bind correctness to one runtime or to undocumented shared infrastructure.</w:t>
      </w:r>
    </w:p>
    <w:p>
      <w:pPr>
        <w:keepLines/>
        <w:numPr>
          <w:ilvl w:val="0"/>
          <w:numId w:val="10"/>
        </w:numPr>
        <w:spacing w:after="160" w:line="280" w:lineRule="auto"/>
      </w:pPr>
      <w:r>
        <w:rPr>
          <w:rFonts w:ascii="Calibri" w:hAnsi="Calibri" w:cs="Calibri"/>
        </w:rPr>
        <w:t>A notification outbox without a dispatcher creates durable intent but not durable delivery.</w:t>
      </w:r>
    </w:p>
    <w:p>
      <w:pPr>
        <w:keepLines/>
        <w:numPr>
          <w:ilvl w:val="0"/>
          <w:numId w:val="10"/>
        </w:numPr>
        <w:spacing w:after="160" w:line="280" w:lineRule="auto"/>
      </w:pPr>
      <w:r>
        <w:rPr>
          <w:rFonts w:ascii="Calibri" w:hAnsi="Calibri" w:cs="Calibri"/>
        </w:rPr>
        <w:t>Container-management logic coupled to the API and Docker daemon would merge the business data plane with a privileged infrastructure control plane.</w:t>
      </w:r>
    </w:p>
    <w:p>
      <w:pPr>
        <w:pStyle w:val="Heading1"/>
      </w:pPr>
      <w:r>
        <w:t>3. Repository and component design</w:t>
      </w:r>
    </w:p>
    <w:p>
      <w:pPr>
        <w:pStyle w:val="Heading2"/>
      </w:pPr>
      <w:r>
        <w:t>Monorepo structure</w:t>
      </w:r>
    </w:p>
    <w:tbl>
      <w:tblPr>
        <w:tblW w:type="dxa" w:w="9360"/>
        <w:jc w:val="left"/>
        <w:tblLayout w:type="fixed"/>
        <w:tblLook w:firstColumn="1" w:firstRow="1" w:lastColumn="0" w:lastRow="0" w:noHBand="0" w:noVBand="1" w:val="04A0"/>
        <w:tblInd w:w="120" w:type="dxa"/>
        <w:tblBorders>
          <w:top w:val="single" w:sz="4" w:space="0" w:color="D0D5DD"/>
          <w:left w:val="single" w:sz="4" w:space="0" w:color="D0D5DD"/>
          <w:bottom w:val="single" w:sz="4" w:space="0" w:color="D0D5DD"/>
          <w:right w:val="single" w:sz="4" w:space="0" w:color="D0D5DD"/>
          <w:insideH w:val="single" w:sz="4" w:space="0" w:color="D0D5DD"/>
          <w:insideV w:val="single" w:sz="4" w:space="0" w:color="D0D5DD"/>
        </w:tblBorders>
      </w:tblPr>
      <w:tblGrid>
        <w:gridCol w:w="1900"/>
        <w:gridCol w:w="1700"/>
        <w:gridCol w:w="5760"/>
      </w:tblGrid>
      <w:tr>
        <w:trPr>
          <w:tblHeader w:val="true"/>
          <w:cantSplit/>
        </w:trPr>
        <w:tc>
          <w:tcPr>
            <w:tcW w:type="dxa" w:w="1900"/>
            <w:tcMar>
              <w:top w:w="80" w:type="dxa"/>
              <w:start w:w="120" w:type="dxa"/>
              <w:bottom w:w="80" w:type="dxa"/>
              <w:end w:w="120" w:type="dxa"/>
            </w:tcMar>
            <w:shd w:fill="F2F4F7"/>
            <w:vAlign w:val="center"/>
          </w:tcPr>
          <w:p>
            <w:pPr>
              <w:spacing w:before="0" w:after="0" w:line="252" w:lineRule="auto"/>
            </w:pPr>
            <w:r/>
            <w:r>
              <w:rPr>
                <w:rFonts w:ascii="Calibri" w:hAnsi="Calibri" w:cs="Calibri"/>
                <w:b/>
                <w:color w:val="0B2545"/>
                <w:sz w:val="18"/>
              </w:rPr>
              <w:t>Path</w:t>
            </w:r>
          </w:p>
        </w:tc>
        <w:tc>
          <w:tcPr>
            <w:tcW w:type="dxa" w:w="1700"/>
            <w:tcMar>
              <w:top w:w="80" w:type="dxa"/>
              <w:start w:w="120" w:type="dxa"/>
              <w:bottom w:w="80" w:type="dxa"/>
              <w:end w:w="120" w:type="dxa"/>
            </w:tcMar>
            <w:shd w:fill="F2F4F7"/>
            <w:vAlign w:val="center"/>
          </w:tcPr>
          <w:p>
            <w:pPr>
              <w:spacing w:before="0" w:after="0" w:line="252" w:lineRule="auto"/>
            </w:pPr>
            <w:r/>
            <w:r>
              <w:rPr>
                <w:rFonts w:ascii="Calibri" w:hAnsi="Calibri" w:cs="Calibri"/>
                <w:b/>
                <w:color w:val="0B2545"/>
                <w:sz w:val="18"/>
              </w:rPr>
              <w:t>Role</w:t>
            </w:r>
          </w:p>
        </w:tc>
        <w:tc>
          <w:tcPr>
            <w:tcW w:type="dxa" w:w="5760"/>
            <w:tcMar>
              <w:top w:w="80" w:type="dxa"/>
              <w:start w:w="120" w:type="dxa"/>
              <w:bottom w:w="80" w:type="dxa"/>
              <w:end w:w="120" w:type="dxa"/>
            </w:tcMar>
            <w:shd w:fill="F2F4F7"/>
            <w:vAlign w:val="center"/>
          </w:tcPr>
          <w:p>
            <w:pPr>
              <w:spacing w:before="0" w:after="0" w:line="252" w:lineRule="auto"/>
            </w:pPr>
            <w:r/>
            <w:r>
              <w:rPr>
                <w:rFonts w:ascii="Calibri" w:hAnsi="Calibri" w:cs="Calibri"/>
                <w:b/>
                <w:color w:val="0B2545"/>
                <w:sz w:val="18"/>
              </w:rPr>
              <w:t>Observed design</w:t>
            </w:r>
          </w:p>
        </w:tc>
      </w:tr>
      <w:tr>
        <w:trPr>
          <w:cantSplit/>
        </w:trPr>
        <w:tc>
          <w:tcPr>
            <w:tcW w:type="dxa" w:w="19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apps/homepage</w:t>
            </w:r>
          </w:p>
        </w:tc>
        <w:tc>
          <w:tcPr>
            <w:tcW w:type="dxa" w:w="17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Public acquisition</w:t>
            </w:r>
          </w:p>
        </w:tc>
        <w:tc>
          <w:tcPr>
            <w:tcW w:type="dxa" w:w="576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Next.js 16, React 19, CSS Modules, localized content/config, route rewrites.</w:t>
            </w:r>
          </w:p>
        </w:tc>
      </w:tr>
      <w:tr>
        <w:trPr>
          <w:cantSplit/>
        </w:trPr>
        <w:tc>
          <w:tcPr>
            <w:tcW w:type="dxa" w:w="19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apps/dashboard</w:t>
            </w:r>
          </w:p>
        </w:tc>
        <w:tc>
          <w:tcPr>
            <w:tcW w:type="dxa" w:w="17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Tenant workspace</w:t>
            </w:r>
          </w:p>
        </w:tc>
        <w:tc>
          <w:tcPr>
            <w:tcW w:type="dxa" w:w="576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Next.js 16, Tailwind, Recharts, Socket.IO client, basePath /dashboard.</w:t>
            </w:r>
          </w:p>
        </w:tc>
      </w:tr>
      <w:tr>
        <w:trPr>
          <w:cantSplit/>
        </w:trPr>
        <w:tc>
          <w:tcPr>
            <w:tcW w:type="dxa" w:w="19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apps/admin</w:t>
            </w:r>
          </w:p>
        </w:tc>
        <w:tc>
          <w:tcPr>
            <w:tcW w:type="dxa" w:w="17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Platform control</w:t>
            </w:r>
          </w:p>
        </w:tc>
        <w:tc>
          <w:tcPr>
            <w:tcW w:type="dxa" w:w="576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Next.js 16, Tailwind, Recharts, basePath /admin.</w:t>
            </w:r>
          </w:p>
        </w:tc>
      </w:tr>
      <w:tr>
        <w:trPr>
          <w:cantSplit/>
        </w:trPr>
        <w:tc>
          <w:tcPr>
            <w:tcW w:type="dxa" w:w="19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apps/carplace</w:t>
            </w:r>
          </w:p>
        </w:tc>
        <w:tc>
          <w:tcPr>
            <w:tcW w:type="dxa" w:w="17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Marketplace</w:t>
            </w:r>
          </w:p>
        </w:tc>
        <w:tc>
          <w:tcPr>
            <w:tcW w:type="dxa" w:w="576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Next.js 16, Tailwind, localized search and progressive booking.</w:t>
            </w:r>
          </w:p>
        </w:tc>
      </w:tr>
      <w:tr>
        <w:trPr>
          <w:cantSplit/>
        </w:trPr>
        <w:tc>
          <w:tcPr>
            <w:tcW w:type="dxa" w:w="19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apps/api</w:t>
            </w:r>
          </w:p>
        </w:tc>
        <w:tc>
          <w:tcPr>
            <w:tcW w:type="dxa" w:w="17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Backend</w:t>
            </w:r>
          </w:p>
        </w:tc>
        <w:tc>
          <w:tcPr>
            <w:tcW w:type="dxa" w:w="576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Express 4, TypeScript, Socket.IO, Zod, modular domain folders.</w:t>
            </w:r>
          </w:p>
        </w:tc>
      </w:tr>
      <w:tr>
        <w:trPr>
          <w:cantSplit/>
        </w:trPr>
        <w:tc>
          <w:tcPr>
            <w:tcW w:type="dxa" w:w="19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packages/database</w:t>
            </w:r>
          </w:p>
        </w:tc>
        <w:tc>
          <w:tcPr>
            <w:tcW w:type="dxa" w:w="17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Persistence</w:t>
            </w:r>
          </w:p>
        </w:tc>
        <w:tc>
          <w:tcPr>
            <w:tcW w:type="dxa" w:w="576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Prisma 5 schema, migrations, generated client.</w:t>
            </w:r>
          </w:p>
        </w:tc>
      </w:tr>
      <w:tr>
        <w:trPr>
          <w:cantSplit/>
        </w:trPr>
        <w:tc>
          <w:tcPr>
            <w:tcW w:type="dxa" w:w="19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packages/types</w:t>
            </w:r>
          </w:p>
        </w:tc>
        <w:tc>
          <w:tcPr>
            <w:tcW w:type="dxa" w:w="17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Shared contracts</w:t>
            </w:r>
          </w:p>
        </w:tc>
        <w:tc>
          <w:tcPr>
            <w:tcW w:type="dxa" w:w="576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API/damage/fuel/marketplace types and pricing constants.</w:t>
            </w:r>
          </w:p>
        </w:tc>
      </w:tr>
    </w:tbl>
    <w:p>
      <w:pPr>
        <w:spacing w:after="20"/>
      </w:pPr>
    </w:p>
    <w:p>
      <w:pPr>
        <w:pStyle w:val="Heading2"/>
      </w:pPr>
      <w:r>
        <w:t>Build and package design</w:t>
      </w:r>
    </w:p>
    <w:p>
      <w:pPr>
        <w:keepLines w:val="0"/>
      </w:pPr>
      <w:r>
        <w:rPr>
          <w:rFonts w:ascii="Calibri" w:hAnsi="Calibri" w:cs="Calibri"/>
          <w:b w:val="0"/>
          <w:i w:val="0"/>
        </w:rPr>
        <w:t>The root declares npm workspaces and Turbo orchestration, with Node ≥20, npm ≥10, and npm@10.5.0. Application scripts generally prebuild the shared types package before build, start, type-check, or test. This is a valid structure, but the package cannot perform the declared workflow as supplied.</w:t>
      </w:r>
    </w:p>
    <w:tbl>
      <w:tblPr>
        <w:tblW w:type="dxa" w:w="9360"/>
        <w:jc w:val="left"/>
        <w:tblLayout w:type="fixed"/>
        <w:tblLook w:firstColumn="1" w:firstRow="1" w:lastColumn="0" w:lastRow="0" w:noHBand="0" w:noVBand="1" w:val="04A0"/>
        <w:tblInd w:w="120" w:type="dxa"/>
        <w:tblBorders>
          <w:top w:val="single" w:sz="4" w:space="0" w:color="D0D5DD"/>
          <w:left w:val="single" w:sz="4" w:space="0" w:color="D0D5DD"/>
          <w:bottom w:val="single" w:sz="4" w:space="0" w:color="D0D5DD"/>
          <w:right w:val="single" w:sz="4" w:space="0" w:color="D0D5DD"/>
          <w:insideH w:val="single" w:sz="4" w:space="0" w:color="D0D5DD"/>
          <w:insideV w:val="single" w:sz="4" w:space="0" w:color="D0D5DD"/>
        </w:tblBorders>
      </w:tblPr>
      <w:tblGrid>
        <w:gridCol w:w="2200"/>
        <w:gridCol w:w="3670"/>
        <w:gridCol w:w="3490"/>
      </w:tblGrid>
      <w:tr>
        <w:trPr>
          <w:tblHeader w:val="true"/>
          <w:cantSplit/>
        </w:trPr>
        <w:tc>
          <w:tcPr>
            <w:tcW w:type="dxa" w:w="2200"/>
            <w:tcMar>
              <w:top w:w="80" w:type="dxa"/>
              <w:start w:w="120" w:type="dxa"/>
              <w:bottom w:w="80" w:type="dxa"/>
              <w:end w:w="120" w:type="dxa"/>
            </w:tcMar>
            <w:shd w:fill="F2F4F7"/>
            <w:vAlign w:val="center"/>
          </w:tcPr>
          <w:p>
            <w:pPr>
              <w:spacing w:before="0" w:after="0" w:line="252" w:lineRule="auto"/>
            </w:pPr>
            <w:r/>
            <w:r>
              <w:rPr>
                <w:rFonts w:ascii="Calibri" w:hAnsi="Calibri" w:cs="Calibri"/>
                <w:b/>
                <w:color w:val="0B2545"/>
                <w:sz w:val="17"/>
              </w:rPr>
              <w:t>Declared dependency</w:t>
            </w:r>
          </w:p>
        </w:tc>
        <w:tc>
          <w:tcPr>
            <w:tcW w:type="dxa" w:w="3670"/>
            <w:tcMar>
              <w:top w:w="80" w:type="dxa"/>
              <w:start w:w="120" w:type="dxa"/>
              <w:bottom w:w="80" w:type="dxa"/>
              <w:end w:w="120" w:type="dxa"/>
            </w:tcMar>
            <w:shd w:fill="F2F4F7"/>
            <w:vAlign w:val="center"/>
          </w:tcPr>
          <w:p>
            <w:pPr>
              <w:spacing w:before="0" w:after="0" w:line="252" w:lineRule="auto"/>
            </w:pPr>
            <w:r/>
            <w:r>
              <w:rPr>
                <w:rFonts w:ascii="Calibri" w:hAnsi="Calibri" w:cs="Calibri"/>
                <w:b/>
                <w:color w:val="0B2545"/>
                <w:sz w:val="17"/>
              </w:rPr>
              <w:t>Package evidence</w:t>
            </w:r>
          </w:p>
        </w:tc>
        <w:tc>
          <w:tcPr>
            <w:tcW w:type="dxa" w:w="3490"/>
            <w:tcMar>
              <w:top w:w="80" w:type="dxa"/>
              <w:start w:w="120" w:type="dxa"/>
              <w:bottom w:w="80" w:type="dxa"/>
              <w:end w:w="120" w:type="dxa"/>
            </w:tcMar>
            <w:shd w:fill="F2F4F7"/>
            <w:vAlign w:val="center"/>
          </w:tcPr>
          <w:p>
            <w:pPr>
              <w:spacing w:before="0" w:after="0" w:line="252" w:lineRule="auto"/>
            </w:pPr>
            <w:r/>
            <w:r>
              <w:rPr>
                <w:rFonts w:ascii="Calibri" w:hAnsi="Calibri" w:cs="Calibri"/>
                <w:b/>
                <w:color w:val="0B2545"/>
                <w:sz w:val="17"/>
              </w:rPr>
              <w:t>Diligence outcome</w:t>
            </w:r>
          </w:p>
        </w:tc>
      </w:tr>
      <w:tr>
        <w:trPr>
          <w:cantSplit/>
        </w:trPr>
        <w:tc>
          <w:tcPr>
            <w:tcW w:type="dxa" w:w="2200"/>
            <w:shd w:fill="FDECEC"/>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turbo.json</w:t>
            </w:r>
          </w:p>
        </w:tc>
        <w:tc>
          <w:tcPr>
            <w:tcW w:type="dxa" w:w="3670"/>
            <w:shd w:fill="FDECEC"/>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Root scripts invoke turbo build, dev, lint, type-check, and DB tasks.</w:t>
            </w:r>
          </w:p>
        </w:tc>
        <w:tc>
          <w:tcPr>
            <w:tcW w:type="dxa" w:w="3490"/>
            <w:shd w:fill="FDECEC"/>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Absent; root type-check fails before traversing workspaces.</w:t>
            </w:r>
          </w:p>
        </w:tc>
      </w:tr>
      <w:tr>
        <w:trPr>
          <w:cantSplit/>
        </w:trPr>
        <w:tc>
          <w:tcPr>
            <w:tcW w:type="dxa" w:w="2200"/>
            <w:shd w:fill="FDECEC"/>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tsconfig.base.json</w:t>
            </w:r>
          </w:p>
        </w:tc>
        <w:tc>
          <w:tcPr>
            <w:tcW w:type="dxa" w:w="3670"/>
            <w:shd w:fill="FDECEC"/>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Workspace TypeScript configurations extend the root base.</w:t>
            </w:r>
          </w:p>
        </w:tc>
        <w:tc>
          <w:tcPr>
            <w:tcW w:type="dxa" w:w="3490"/>
            <w:shd w:fill="FDECEC"/>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Absent; shared types and application type-checks cannot resolve the base config.</w:t>
            </w:r>
          </w:p>
        </w:tc>
      </w:tr>
      <w:tr>
        <w:trPr>
          <w:cantSplit/>
        </w:trPr>
        <w:tc>
          <w:tcPr>
            <w:tcW w:type="dxa" w:w="2200"/>
            <w:shd w:fill="FFF6D8"/>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scripts/</w:t>
            </w:r>
          </w:p>
        </w:tc>
        <w:tc>
          <w:tcPr>
            <w:tcW w:type="dxa" w:w="3670"/>
            <w:shd w:fill="FFF6D8"/>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Root and API scripts reference env loading, production deploy, backup/restore, security check, and admin setup.</w:t>
            </w:r>
          </w:p>
        </w:tc>
        <w:tc>
          <w:tcPr>
            <w:tcW w:type="dxa" w:w="3490"/>
            <w:shd w:fill="FFF6D8"/>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Absent; referenced operational commands are not reproducible.</w:t>
            </w:r>
          </w:p>
        </w:tc>
      </w:tr>
      <w:tr>
        <w:trPr>
          <w:cantSplit/>
        </w:trPr>
        <w:tc>
          <w:tcPr>
            <w:tcW w:type="dxa" w:w="2200"/>
            <w:shd w:fill="FFF6D8"/>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Compose files</w:t>
            </w:r>
          </w:p>
        </w:tc>
        <w:tc>
          <w:tcPr>
            <w:tcW w:type="dxa" w:w="3670"/>
            <w:shd w:fill="FFF6D8"/>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Root scripts reference development and production Compose files.</w:t>
            </w:r>
          </w:p>
        </w:tc>
        <w:tc>
          <w:tcPr>
            <w:tcW w:type="dxa" w:w="3490"/>
            <w:shd w:fill="FFF6D8"/>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Absent; intended local and production topology cannot be validated.</w:t>
            </w:r>
          </w:p>
        </w:tc>
      </w:tr>
      <w:tr>
        <w:trPr>
          <w:cantSplit/>
        </w:trPr>
        <w:tc>
          <w:tcPr>
            <w:tcW w:type="dxa" w:w="2200"/>
            <w:shd w:fill="FFF6D8"/>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CI configuration</w:t>
            </w:r>
          </w:p>
        </w:tc>
        <w:tc>
          <w:tcPr>
            <w:tcW w:type="dxa" w:w="3670"/>
            <w:shd w:fill="FFF6D8"/>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Would normally prove lint/type/build/test/audit gates.</w:t>
            </w:r>
          </w:p>
        </w:tc>
        <w:tc>
          <w:tcPr>
            <w:tcW w:type="dxa" w:w="3490"/>
            <w:shd w:fill="FFF6D8"/>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No .github workflow or equivalent CI definition was supplied.</w:t>
            </w:r>
          </w:p>
        </w:tc>
      </w:tr>
    </w:tbl>
    <w:p>
      <w:pPr>
        <w:spacing w:after="20"/>
      </w:pPr>
    </w:p>
    <w:p>
      <w:pPr>
        <w:pStyle w:val="Heading2"/>
      </w:pPr>
      <w:r>
        <w:t>Repository hygiene</w:t>
      </w:r>
    </w:p>
    <w:p>
      <w:pPr>
        <w:keepLines w:val="0"/>
      </w:pPr>
      <w:r>
        <w:rPr>
          <w:rFonts w:ascii="Calibri" w:hAnsi="Calibri" w:cs="Calibri"/>
          <w:b w:val="0"/>
          <w:i w:val="0"/>
        </w:rPr>
        <w:t>The supplied ZIP included node_modules, .next output, generated Prisma artifacts, TypeScript build-info files, and other compiled/cache material. That increases package size, obscures provenance, and can make dependency or build results platform-specific. A release artifact should contain either source plus a reproducible lockfile/toolchain, or immutable built images with an SBOM—not a mixture of source, caches, and developer-machine output.</w:t>
      </w:r>
    </w:p>
    <w:p>
      <w:pPr>
        <w:keepLines/>
        <w:spacing w:before="100" w:after="200"/>
        <w:ind w:left="173" w:right="115"/>
        <w:shd w:fill="FDECEC"/>
        <w:pBdr>
          <w:left w:val="single" w:sz="20" w:space="8" w:color="9B1C1C"/>
        </w:pBdr>
      </w:pPr>
      <w:r>
        <w:rPr>
          <w:rFonts w:ascii="Calibri" w:hAnsi="Calibri" w:cs="Calibri"/>
          <w:b/>
          <w:color w:val="9B1C1C"/>
        </w:rPr>
        <w:t xml:space="preserve">Diligence gate  </w:t>
      </w:r>
      <w:r>
        <w:rPr>
          <w:rFonts w:ascii="Calibri" w:hAnsi="Calibri" w:cs="Calibri"/>
          <w:color w:val="101828"/>
        </w:rPr>
        <w:t>Request a clean source export or repository access, then reproduce install, generate, lint, type-check, test, build, image creation, migration, deployment, backup, and restore from a fresh runner.</w:t>
      </w:r>
    </w:p>
    <w:p>
      <w:pPr>
        <w:pStyle w:val="Heading1"/>
      </w:pPr>
      <w:r>
        <w:t>4. Frontend application design</w:t>
      </w:r>
    </w:p>
    <w:p>
      <w:pPr>
        <w:pStyle w:val="Heading2"/>
      </w:pPr>
      <w:r>
        <w:t>4.1 Homepage and public edge</w:t>
      </w:r>
    </w:p>
    <w:p>
      <w:pPr>
        <w:keepLines w:val="0"/>
      </w:pPr>
      <w:r>
        <w:rPr>
          <w:rFonts w:ascii="Calibri" w:hAnsi="Calibri" w:cs="Calibri"/>
          <w:b w:val="0"/>
          <w:i w:val="0"/>
        </w:rPr>
        <w:t>The homepage is more than a static landing page. It is the public origin router and contains unified sign-in entry points, localization, theme preference, product configuration, and proxy rewrites to the API and three downstream applications. Its primary page composes twelve major sections: hero, trust, comparison, workflow, roles, modules, results, integrations, security, pricing, FAQ, and final CTA.</w:t>
      </w:r>
    </w:p>
    <w:p>
      <w:pPr>
        <w:keepLines/>
        <w:numPr>
          <w:ilvl w:val="0"/>
          <w:numId w:val="10"/>
        </w:numPr>
        <w:spacing w:after="160" w:line="280" w:lineRule="auto"/>
      </w:pPr>
      <w:r>
        <w:rPr>
          <w:rFonts w:ascii="Calibri" w:hAnsi="Calibri" w:cs="Calibri"/>
        </w:rPr>
        <w:t>Design system: CSS Modules and custom tokens/components, separate from the Tailwind systems used elsewhere.</w:t>
      </w:r>
    </w:p>
    <w:p>
      <w:pPr>
        <w:keepLines/>
        <w:numPr>
          <w:ilvl w:val="0"/>
          <w:numId w:val="10"/>
        </w:numPr>
        <w:spacing w:after="160" w:line="280" w:lineRule="auto"/>
      </w:pPr>
      <w:r>
        <w:rPr>
          <w:rFonts w:ascii="Calibri" w:hAnsi="Calibri" w:cs="Calibri"/>
        </w:rPr>
        <w:t>Internationalization: English, French, and Arabic content with RTL handling and localized preference behavior.</w:t>
      </w:r>
    </w:p>
    <w:p>
      <w:pPr>
        <w:keepLines/>
        <w:numPr>
          <w:ilvl w:val="0"/>
          <w:numId w:val="10"/>
        </w:numPr>
        <w:spacing w:after="160" w:line="280" w:lineRule="auto"/>
      </w:pPr>
      <w:r>
        <w:rPr>
          <w:rFonts w:ascii="Calibri" w:hAnsi="Calibri" w:cs="Calibri"/>
        </w:rPr>
        <w:t>Quality intent: unit/integration tests, Playwright configuration, and accessibility testing with axe are present.</w:t>
      </w:r>
    </w:p>
    <w:p>
      <w:pPr>
        <w:keepLines/>
        <w:numPr>
          <w:ilvl w:val="0"/>
          <w:numId w:val="10"/>
        </w:numPr>
        <w:spacing w:after="160" w:line="280" w:lineRule="auto"/>
      </w:pPr>
      <w:r>
        <w:rPr>
          <w:rFonts w:ascii="Calibri" w:hAnsi="Calibri" w:cs="Calibri"/>
        </w:rPr>
        <w:t>Current lint state: the controlled run reported 3 errors and 4 warnings, including an effect-driven synchronous state update and explicit any usage.</w:t>
      </w:r>
    </w:p>
    <w:p>
      <w:pPr>
        <w:pStyle w:val="Heading2"/>
      </w:pPr>
      <w:r>
        <w:t>4.2 Tenant dashboard</w:t>
      </w:r>
    </w:p>
    <w:p>
      <w:pPr>
        <w:keepLines w:val="0"/>
      </w:pPr>
      <w:r>
        <w:rPr>
          <w:rFonts w:ascii="Calibri" w:hAnsi="Calibri" w:cs="Calibri"/>
          <w:b w:val="0"/>
          <w:i w:val="0"/>
        </w:rPr>
        <w:t>The dashboard is the operational center for rental companies. It uses a base path of /dashboard, an HttpOnly employee cookie, middleware route gating, a client access guard, and an internal API proxy. It contains a persistent navigation shell and page-level orchestration for fleet, reservations, online reservations, customers, contracts, billing, offers, team, reports, reviews, complaints, notifications, search, settings, and subscription.</w:t>
      </w:r>
    </w:p>
    <w:p>
      <w:pPr>
        <w:keepLines/>
        <w:numPr>
          <w:ilvl w:val="0"/>
          <w:numId w:val="10"/>
        </w:numPr>
        <w:spacing w:after="160" w:line="280" w:lineRule="auto"/>
      </w:pPr>
      <w:r>
        <w:rPr>
          <w:rFonts w:ascii="Calibri" w:hAnsi="Calibri" w:cs="Calibri"/>
        </w:rPr>
        <w:t>Strength: product breadth maps closely to the core data model and API modules.</w:t>
      </w:r>
    </w:p>
    <w:p>
      <w:pPr>
        <w:keepLines/>
        <w:numPr>
          <w:ilvl w:val="0"/>
          <w:numId w:val="10"/>
        </w:numPr>
        <w:spacing w:after="160" w:line="280" w:lineRule="auto"/>
      </w:pPr>
      <w:r>
        <w:rPr>
          <w:rFonts w:ascii="Calibri" w:hAnsi="Calibri" w:cs="Calibri"/>
        </w:rPr>
        <w:t>Risk: many large page components coordinate network state and business presentation directly; shared query, form, and error conventions are not centralized into a cross-app UI/data package.</w:t>
      </w:r>
    </w:p>
    <w:p>
      <w:pPr>
        <w:keepLines/>
        <w:numPr>
          <w:ilvl w:val="0"/>
          <w:numId w:val="10"/>
        </w:numPr>
        <w:spacing w:after="160" w:line="280" w:lineRule="auto"/>
      </w:pPr>
      <w:r>
        <w:rPr>
          <w:rFonts w:ascii="Calibri" w:hAnsi="Calibri" w:cs="Calibri"/>
        </w:rPr>
        <w:t>Documentation drift: the internal README refers to Next.js 14 / React 18 while package manifests declare Next.js 16.2.9 / React 19.2.</w:t>
      </w:r>
    </w:p>
    <w:p>
      <w:pPr>
        <w:pStyle w:val="Heading2"/>
      </w:pPr>
      <w:r>
        <w:t>4.3 Platform administration</w:t>
      </w:r>
    </w:p>
    <w:p>
      <w:pPr>
        <w:keepLines w:val="0"/>
      </w:pPr>
      <w:r>
        <w:rPr>
          <w:rFonts w:ascii="Calibri" w:hAnsi="Calibri" w:cs="Calibri"/>
          <w:b w:val="0"/>
          <w:i w:val="0"/>
        </w:rPr>
        <w:t>The admin application separates global operator functions from tenant functions. Its navigation includes companies, renters, administrator users, audit logs, billing, pricing, menu management, site configuration, and notifications. Backend routes enforce administrative roles and two-factor rules; the frontend layout also performs a client-side authentication check for experience gating.</w:t>
      </w:r>
    </w:p>
    <w:p>
      <w:pPr>
        <w:keepLines/>
        <w:spacing w:before="100" w:after="200"/>
        <w:ind w:left="173" w:right="115"/>
        <w:shd w:fill="FDECEC"/>
        <w:pBdr>
          <w:left w:val="single" w:sz="20" w:space="8" w:color="9B1C1C"/>
        </w:pBdr>
      </w:pPr>
      <w:r>
        <w:rPr>
          <w:rFonts w:ascii="Calibri" w:hAnsi="Calibri" w:cs="Calibri"/>
          <w:b/>
          <w:color w:val="9B1C1C"/>
        </w:rPr>
        <w:t xml:space="preserve">Important discrepancy  </w:t>
      </w:r>
      <w:r>
        <w:rPr>
          <w:rFonts w:ascii="Calibri" w:hAnsi="Calibri" w:cs="Calibri"/>
          <w:color w:val="101828"/>
        </w:rPr>
        <w:t>The admin UI presents a container-management area and calls container endpoints, but the reviewed API has no matching admin container routes and the database lacks the expected CompanyContainer model. This is a ghost capability, not an operational feature.</w:t>
      </w:r>
    </w:p>
    <w:p>
      <w:pPr>
        <w:pStyle w:val="Heading2"/>
      </w:pPr>
      <w:r>
        <w:t>4.4 Carplace marketplace</w:t>
      </w:r>
    </w:p>
    <w:p>
      <w:pPr>
        <w:keepLines w:val="0"/>
      </w:pPr>
      <w:r>
        <w:rPr>
          <w:rFonts w:ascii="Calibri" w:hAnsi="Calibri" w:cs="Calibri"/>
          <w:b w:val="0"/>
          <w:i w:val="0"/>
        </w:rPr>
        <w:t>Carplace provides public, cross-tenant discovery and a progressive booking request. It supports search, company and vehicle slug pages, trip/contact/review steps, legal pages, and English/French/Arabic localization. Current behavior is primarily guest/public; renter login/signup routes are disabled even though renter accounts and notification models exist in the broader platform.</w:t>
      </w:r>
    </w:p>
    <w:p>
      <w:pPr>
        <w:keepLines/>
        <w:numPr>
          <w:ilvl w:val="0"/>
          <w:numId w:val="10"/>
        </w:numPr>
        <w:spacing w:after="160" w:line="280" w:lineRule="auto"/>
      </w:pPr>
      <w:r>
        <w:rPr>
          <w:rFonts w:ascii="Calibri" w:hAnsi="Calibri" w:cs="Calibri"/>
        </w:rPr>
        <w:t>Strength: marketplace discovery is separated from tenant operations and uses public-safe API routes.</w:t>
      </w:r>
    </w:p>
    <w:p>
      <w:pPr>
        <w:keepLines/>
        <w:numPr>
          <w:ilvl w:val="0"/>
          <w:numId w:val="10"/>
        </w:numPr>
        <w:spacing w:after="160" w:line="280" w:lineRule="auto"/>
      </w:pPr>
      <w:r>
        <w:rPr>
          <w:rFonts w:ascii="Calibri" w:hAnsi="Calibri" w:cs="Calibri"/>
        </w:rPr>
        <w:t>Risk: selected public booking idempotency is held in a 15-minute in-memory map, which is not consistent across replicas and is lost on restart.</w:t>
      </w:r>
    </w:p>
    <w:p>
      <w:pPr>
        <w:keepLines/>
        <w:numPr>
          <w:ilvl w:val="0"/>
          <w:numId w:val="10"/>
        </w:numPr>
        <w:spacing w:after="160" w:line="280" w:lineRule="auto"/>
      </w:pPr>
      <w:r>
        <w:rPr>
          <w:rFonts w:ascii="Calibri" w:hAnsi="Calibri" w:cs="Calibri"/>
        </w:rPr>
        <w:t>Product gap: account-based renter journeys are partially modeled but not active in the reviewed routing surface.</w:t>
      </w:r>
    </w:p>
    <w:p>
      <w:pPr>
        <w:pStyle w:val="Heading2"/>
      </w:pPr>
      <w:r>
        <w:t>4.5 Cross-frontend design</w:t>
      </w:r>
    </w:p>
    <w:tbl>
      <w:tblPr>
        <w:tblW w:type="dxa" w:w="9360"/>
        <w:jc w:val="left"/>
        <w:tblLayout w:type="fixed"/>
        <w:tblLook w:firstColumn="1" w:firstRow="1" w:lastColumn="0" w:lastRow="0" w:noHBand="0" w:noVBand="1" w:val="04A0"/>
        <w:tblInd w:w="120" w:type="dxa"/>
        <w:tblBorders>
          <w:top w:val="single" w:sz="4" w:space="0" w:color="D0D5DD"/>
          <w:left w:val="single" w:sz="4" w:space="0" w:color="D0D5DD"/>
          <w:bottom w:val="single" w:sz="4" w:space="0" w:color="D0D5DD"/>
          <w:right w:val="single" w:sz="4" w:space="0" w:color="D0D5DD"/>
          <w:insideH w:val="single" w:sz="4" w:space="0" w:color="D0D5DD"/>
          <w:insideV w:val="single" w:sz="4" w:space="0" w:color="D0D5DD"/>
        </w:tblBorders>
      </w:tblPr>
      <w:tblGrid>
        <w:gridCol w:w="1500"/>
        <w:gridCol w:w="3900"/>
        <w:gridCol w:w="3960"/>
      </w:tblGrid>
      <w:tr>
        <w:trPr>
          <w:tblHeader w:val="true"/>
          <w:cantSplit/>
        </w:trPr>
        <w:tc>
          <w:tcPr>
            <w:tcW w:type="dxa" w:w="1500"/>
            <w:tcMar>
              <w:top w:w="80" w:type="dxa"/>
              <w:start w:w="120" w:type="dxa"/>
              <w:bottom w:w="80" w:type="dxa"/>
              <w:end w:w="120" w:type="dxa"/>
            </w:tcMar>
            <w:shd w:fill="F2F4F7"/>
            <w:vAlign w:val="center"/>
          </w:tcPr>
          <w:p>
            <w:pPr>
              <w:spacing w:before="0" w:after="0" w:line="252" w:lineRule="auto"/>
            </w:pPr>
            <w:r/>
            <w:r>
              <w:rPr>
                <w:rFonts w:ascii="Calibri" w:hAnsi="Calibri" w:cs="Calibri"/>
                <w:b/>
                <w:color w:val="0B2545"/>
                <w:sz w:val="17"/>
              </w:rPr>
              <w:t>Concern</w:t>
            </w:r>
          </w:p>
        </w:tc>
        <w:tc>
          <w:tcPr>
            <w:tcW w:type="dxa" w:w="3900"/>
            <w:tcMar>
              <w:top w:w="80" w:type="dxa"/>
              <w:start w:w="120" w:type="dxa"/>
              <w:bottom w:w="80" w:type="dxa"/>
              <w:end w:w="120" w:type="dxa"/>
            </w:tcMar>
            <w:shd w:fill="F2F4F7"/>
            <w:vAlign w:val="center"/>
          </w:tcPr>
          <w:p>
            <w:pPr>
              <w:spacing w:before="0" w:after="0" w:line="252" w:lineRule="auto"/>
            </w:pPr>
            <w:r/>
            <w:r>
              <w:rPr>
                <w:rFonts w:ascii="Calibri" w:hAnsi="Calibri" w:cs="Calibri"/>
                <w:b/>
                <w:color w:val="0B2545"/>
                <w:sz w:val="17"/>
              </w:rPr>
              <w:t>Current state</w:t>
            </w:r>
          </w:p>
        </w:tc>
        <w:tc>
          <w:tcPr>
            <w:tcW w:type="dxa" w:w="3960"/>
            <w:tcMar>
              <w:top w:w="80" w:type="dxa"/>
              <w:start w:w="120" w:type="dxa"/>
              <w:bottom w:w="80" w:type="dxa"/>
              <w:end w:w="120" w:type="dxa"/>
            </w:tcMar>
            <w:shd w:fill="F2F4F7"/>
            <w:vAlign w:val="center"/>
          </w:tcPr>
          <w:p>
            <w:pPr>
              <w:spacing w:before="0" w:after="0" w:line="252" w:lineRule="auto"/>
            </w:pPr>
            <w:r/>
            <w:r>
              <w:rPr>
                <w:rFonts w:ascii="Calibri" w:hAnsi="Calibri" w:cs="Calibri"/>
                <w:b/>
                <w:color w:val="0B2545"/>
                <w:sz w:val="17"/>
              </w:rPr>
              <w:t>Recommendation</w:t>
            </w:r>
          </w:p>
        </w:tc>
      </w:tr>
      <w:tr>
        <w:trPr>
          <w:cantSplit/>
        </w:trPr>
        <w:tc>
          <w:tcPr>
            <w:tcW w:type="dxa" w:w="15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UI system</w:t>
            </w:r>
          </w:p>
        </w:tc>
        <w:tc>
          <w:tcPr>
            <w:tcW w:type="dxa" w:w="39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Homepage uses CSS Modules/custom components; dashboard/admin/carplace use Tailwind; no shared UI package.</w:t>
            </w:r>
          </w:p>
        </w:tc>
        <w:tc>
          <w:tcPr>
            <w:tcW w:type="dxa" w:w="396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Publish shared primitives, tokens, accessibility rules, and visual regression baselines without forcing identical audience styling.</w:t>
            </w:r>
          </w:p>
        </w:tc>
      </w:tr>
      <w:tr>
        <w:trPr>
          <w:cantSplit/>
        </w:trPr>
        <w:tc>
          <w:tcPr>
            <w:tcW w:type="dxa" w:w="15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API clients</w:t>
            </w:r>
          </w:p>
        </w:tc>
        <w:tc>
          <w:tcPr>
            <w:tcW w:type="dxa" w:w="39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Similar proxy/fetch/error logic is repeated across applications.</w:t>
            </w:r>
          </w:p>
        </w:tc>
        <w:tc>
          <w:tcPr>
            <w:tcW w:type="dxa" w:w="396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Generate or share typed clients from an authoritative API contract.</w:t>
            </w:r>
          </w:p>
        </w:tc>
      </w:tr>
      <w:tr>
        <w:trPr>
          <w:cantSplit/>
        </w:trPr>
        <w:tc>
          <w:tcPr>
            <w:tcW w:type="dxa" w:w="15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Versions</w:t>
            </w:r>
          </w:p>
        </w:tc>
        <w:tc>
          <w:tcPr>
            <w:tcW w:type="dxa" w:w="39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Next 16 / React 19 in frontends; API includes React 18 and Next as backend dependencies; lucide peer range targets React ≤18.</w:t>
            </w:r>
          </w:p>
        </w:tc>
        <w:tc>
          <w:tcPr>
            <w:tcW w:type="dxa" w:w="396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Remove unused backend UI dependencies and align/upgrade peer-compatible packages.</w:t>
            </w:r>
          </w:p>
        </w:tc>
      </w:tr>
      <w:tr>
        <w:trPr>
          <w:cantSplit/>
        </w:trPr>
        <w:tc>
          <w:tcPr>
            <w:tcW w:type="dxa" w:w="15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State/data</w:t>
            </w:r>
          </w:p>
        </w:tc>
        <w:tc>
          <w:tcPr>
            <w:tcW w:type="dxa" w:w="39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Predominantly component-level orchestration and direct fetch patterns.</w:t>
            </w:r>
          </w:p>
        </w:tc>
        <w:tc>
          <w:tcPr>
            <w:tcW w:type="dxa" w:w="396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Standardize cache, retry, cancellation, optimistic update, and error-envelope behavior.</w:t>
            </w:r>
          </w:p>
        </w:tc>
      </w:tr>
      <w:tr>
        <w:trPr>
          <w:cantSplit/>
        </w:trPr>
        <w:tc>
          <w:tcPr>
            <w:tcW w:type="dxa" w:w="15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Accessibility</w:t>
            </w:r>
          </w:p>
        </w:tc>
        <w:tc>
          <w:tcPr>
            <w:tcW w:type="dxa" w:w="39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Homepage has explicit axe/Playwright intent; equivalent evidence is less visible in other apps.</w:t>
            </w:r>
          </w:p>
        </w:tc>
        <w:tc>
          <w:tcPr>
            <w:tcW w:type="dxa" w:w="396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Adopt shared keyboard, focus, form-label, contrast, and RTL acceptance tests across all surfaces.</w:t>
            </w:r>
          </w:p>
        </w:tc>
      </w:tr>
    </w:tbl>
    <w:p>
      <w:pPr>
        <w:spacing w:after="20"/>
      </w:pPr>
    </w:p>
    <w:p>
      <w:pPr>
        <w:pStyle w:val="Heading1"/>
      </w:pPr>
      <w:r>
        <w:t>5. API and service design</w:t>
      </w:r>
    </w:p>
    <w:p>
      <w:pPr>
        <w:keepLines/>
        <w:spacing w:before="120" w:after="40"/>
        <w:jc w:val="center"/>
      </w:pPr>
      <w:r>
        <w:drawing>
          <wp:inline xmlns:a="http://schemas.openxmlformats.org/drawingml/2006/main" xmlns:pic="http://schemas.openxmlformats.org/drawingml/2006/picture">
            <wp:extent cx="5760720" cy="3136392"/>
            <wp:docPr id="2" name="Picture 2" descr="Figure 2. Typical API path from request entry through cross-cutting controls, validation, domain logic, and persistence." title="Api Request Path"/>
            <wp:cNvGraphicFramePr>
              <a:graphicFrameLocks noChangeAspect="1"/>
            </wp:cNvGraphicFramePr>
            <a:graphic>
              <a:graphicData uri="http://schemas.openxmlformats.org/drawingml/2006/picture">
                <pic:pic>
                  <pic:nvPicPr>
                    <pic:cNvPr id="0" name="api_request_path.png"/>
                    <pic:cNvPicPr/>
                  </pic:nvPicPr>
                  <pic:blipFill>
                    <a:blip r:embed="rId12"/>
                    <a:stretch>
                      <a:fillRect/>
                    </a:stretch>
                  </pic:blipFill>
                  <pic:spPr>
                    <a:xfrm>
                      <a:off x="0" y="0"/>
                      <a:ext cx="5760720" cy="3136392"/>
                    </a:xfrm>
                    <a:prstGeom prst="rect"/>
                  </pic:spPr>
                </pic:pic>
              </a:graphicData>
            </a:graphic>
          </wp:inline>
        </w:drawing>
      </w:r>
    </w:p>
    <w:p>
      <w:pPr>
        <w:pStyle w:val="Caption"/>
        <w:keepNext w:val="0"/>
      </w:pPr>
      <w:r>
        <w:t>Figure 2. Typical API path from request entry through cross-cutting controls, validation, domain logic, and persistence.</w:t>
      </w:r>
    </w:p>
    <w:p>
      <w:pPr>
        <w:keepLines w:val="0"/>
      </w:pPr>
      <w:r>
        <w:rPr>
          <w:rFonts w:ascii="Calibri" w:hAnsi="Calibri" w:cs="Calibri"/>
          <w:b w:val="0"/>
          <w:i w:val="0"/>
        </w:rPr>
        <w:t>The API is a TypeScript Express modular monolith. Most domain folders follow a route → schema → service → repository → presenter pattern. This is a healthy separation for the current company and product stage: it centralizes transactions while giving teams recognizable boundaries.</w:t>
      </w:r>
    </w:p>
    <w:p>
      <w:pPr>
        <w:pStyle w:val="Heading2"/>
      </w:pPr>
      <w:r>
        <w:t>Application bootstrap</w:t>
      </w:r>
    </w:p>
    <w:p>
      <w:pPr>
        <w:keepLines/>
        <w:numPr>
          <w:ilvl w:val="0"/>
          <w:numId w:val="10"/>
        </w:numPr>
        <w:spacing w:after="160" w:line="280" w:lineRule="auto"/>
      </w:pPr>
      <w:r>
        <w:rPr>
          <w:rFonts w:ascii="Calibri" w:hAnsi="Calibri" w:cs="Calibri"/>
        </w:rPr>
        <w:t>Sanitizes forwarding metadata, attaches a request identifier, rejects the x-middleware-subrequest header, applies CORS and cookie-CSRF origin checks, then installs security, parsing, routes, and centralized errors.</w:t>
      </w:r>
    </w:p>
    <w:p>
      <w:pPr>
        <w:keepLines/>
        <w:numPr>
          <w:ilvl w:val="0"/>
          <w:numId w:val="10"/>
        </w:numPr>
        <w:spacing w:after="160" w:line="280" w:lineRule="auto"/>
      </w:pPr>
      <w:r>
        <w:rPr>
          <w:rFonts w:ascii="Calibri" w:hAnsi="Calibri" w:cs="Calibri"/>
        </w:rPr>
        <w:t>Mounts webhook raw-body handling before general JSON parsing so provider signatures can be verified against original bytes.</w:t>
      </w:r>
    </w:p>
    <w:p>
      <w:pPr>
        <w:keepLines/>
        <w:numPr>
          <w:ilvl w:val="0"/>
          <w:numId w:val="10"/>
        </w:numPr>
        <w:spacing w:after="160" w:line="280" w:lineRule="auto"/>
      </w:pPr>
      <w:r>
        <w:rPr>
          <w:rFonts w:ascii="Calibri" w:hAnsi="Calibri" w:cs="Calibri"/>
        </w:rPr>
        <w:t>Protects private storage routes and exposes only explicit public storage paths.</w:t>
      </w:r>
    </w:p>
    <w:p>
      <w:pPr>
        <w:keepLines/>
        <w:numPr>
          <w:ilvl w:val="0"/>
          <w:numId w:val="10"/>
        </w:numPr>
        <w:spacing w:after="160" w:line="280" w:lineRule="auto"/>
      </w:pPr>
      <w:r>
        <w:rPr>
          <w:rFonts w:ascii="Calibri" w:hAnsi="Calibri" w:cs="Calibri"/>
        </w:rPr>
        <w:t>Serves Swagger only outside production unless explicitly enabled.</w:t>
      </w:r>
    </w:p>
    <w:p>
      <w:pPr>
        <w:keepLines/>
        <w:numPr>
          <w:ilvl w:val="0"/>
          <w:numId w:val="10"/>
        </w:numPr>
        <w:spacing w:after="160" w:line="280" w:lineRule="auto"/>
      </w:pPr>
      <w:r>
        <w:rPr>
          <w:rFonts w:ascii="Calibri" w:hAnsi="Calibri" w:cs="Calibri"/>
        </w:rPr>
        <w:t>Bootstraps Socket.IO, Redis notification subscription, and node-cron jobs within the API process.</w:t>
      </w:r>
    </w:p>
    <w:p>
      <w:pPr>
        <w:pStyle w:val="Heading2"/>
      </w:pPr>
      <w:r>
        <w:t>Domain-module inventory</w:t>
      </w:r>
    </w:p>
    <w:tbl>
      <w:tblPr>
        <w:tblW w:type="dxa" w:w="9360"/>
        <w:jc w:val="left"/>
        <w:tblLayout w:type="fixed"/>
        <w:tblLook w:firstColumn="1" w:firstRow="1" w:lastColumn="0" w:lastRow="0" w:noHBand="0" w:noVBand="1" w:val="04A0"/>
        <w:tblInd w:w="120" w:type="dxa"/>
        <w:tblBorders>
          <w:top w:val="single" w:sz="4" w:space="0" w:color="D0D5DD"/>
          <w:left w:val="single" w:sz="4" w:space="0" w:color="D0D5DD"/>
          <w:bottom w:val="single" w:sz="4" w:space="0" w:color="D0D5DD"/>
          <w:right w:val="single" w:sz="4" w:space="0" w:color="D0D5DD"/>
          <w:insideH w:val="single" w:sz="4" w:space="0" w:color="D0D5DD"/>
          <w:insideV w:val="single" w:sz="4" w:space="0" w:color="D0D5DD"/>
        </w:tblBorders>
      </w:tblPr>
      <w:tblGrid>
        <w:gridCol w:w="2200"/>
        <w:gridCol w:w="900"/>
        <w:gridCol w:w="6260"/>
      </w:tblGrid>
      <w:tr>
        <w:trPr>
          <w:tblHeader w:val="true"/>
          <w:cantSplit/>
        </w:trPr>
        <w:tc>
          <w:tcPr>
            <w:tcW w:type="dxa" w:w="2200"/>
            <w:tcMar>
              <w:top w:w="80" w:type="dxa"/>
              <w:start w:w="120" w:type="dxa"/>
              <w:bottom w:w="80" w:type="dxa"/>
              <w:end w:w="120" w:type="dxa"/>
            </w:tcMar>
            <w:shd w:fill="F2F4F7"/>
            <w:vAlign w:val="center"/>
          </w:tcPr>
          <w:p>
            <w:pPr>
              <w:spacing w:before="0" w:after="0" w:line="252" w:lineRule="auto"/>
            </w:pPr>
            <w:r/>
            <w:r>
              <w:rPr>
                <w:rFonts w:ascii="Calibri" w:hAnsi="Calibri" w:cs="Calibri"/>
                <w:b/>
                <w:color w:val="0B2545"/>
                <w:sz w:val="17"/>
              </w:rPr>
              <w:t>Domain family</w:t>
            </w:r>
          </w:p>
        </w:tc>
        <w:tc>
          <w:tcPr>
            <w:tcW w:type="dxa" w:w="900"/>
            <w:tcMar>
              <w:top w:w="80" w:type="dxa"/>
              <w:start w:w="120" w:type="dxa"/>
              <w:bottom w:w="80" w:type="dxa"/>
              <w:end w:w="120" w:type="dxa"/>
            </w:tcMar>
            <w:shd w:fill="F2F4F7"/>
            <w:vAlign w:val="center"/>
          </w:tcPr>
          <w:p>
            <w:pPr>
              <w:spacing w:before="0" w:after="0" w:line="252" w:lineRule="auto"/>
            </w:pPr>
            <w:r/>
            <w:r>
              <w:rPr>
                <w:rFonts w:ascii="Calibri" w:hAnsi="Calibri" w:cs="Calibri"/>
                <w:b/>
                <w:color w:val="0B2545"/>
                <w:sz w:val="17"/>
              </w:rPr>
              <w:t>Handlers</w:t>
            </w:r>
          </w:p>
        </w:tc>
        <w:tc>
          <w:tcPr>
            <w:tcW w:type="dxa" w:w="6260"/>
            <w:tcMar>
              <w:top w:w="80" w:type="dxa"/>
              <w:start w:w="120" w:type="dxa"/>
              <w:bottom w:w="80" w:type="dxa"/>
              <w:end w:w="120" w:type="dxa"/>
            </w:tcMar>
            <w:shd w:fill="F2F4F7"/>
            <w:vAlign w:val="center"/>
          </w:tcPr>
          <w:p>
            <w:pPr>
              <w:spacing w:before="0" w:after="0" w:line="252" w:lineRule="auto"/>
            </w:pPr>
            <w:r/>
            <w:r>
              <w:rPr>
                <w:rFonts w:ascii="Calibri" w:hAnsi="Calibri" w:cs="Calibri"/>
                <w:b/>
                <w:color w:val="0B2545"/>
                <w:sz w:val="17"/>
              </w:rPr>
              <w:t>Representative scope</w:t>
            </w:r>
          </w:p>
        </w:tc>
      </w:tr>
      <w:tr>
        <w:trPr>
          <w:cantSplit/>
        </w:trPr>
        <w:tc>
          <w:tcPr>
            <w:tcW w:type="dxa" w:w="22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Admin</w:t>
            </w:r>
          </w:p>
        </w:tc>
        <w:tc>
          <w:tcPr>
            <w:tcW w:type="dxa" w:w="9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70</w:t>
            </w:r>
          </w:p>
        </w:tc>
        <w:tc>
          <w:tcPr>
            <w:tcW w:type="dxa" w:w="626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Companies, pricing, billing, admins, audit, menu/site configuration</w:t>
            </w:r>
          </w:p>
        </w:tc>
      </w:tr>
      <w:tr>
        <w:trPr>
          <w:cantSplit/>
        </w:trPr>
        <w:tc>
          <w:tcPr>
            <w:tcW w:type="dxa" w:w="22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Vehicles</w:t>
            </w:r>
          </w:p>
        </w:tc>
        <w:tc>
          <w:tcPr>
            <w:tcW w:type="dxa" w:w="9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20</w:t>
            </w:r>
          </w:p>
        </w:tc>
        <w:tc>
          <w:tcPr>
            <w:tcW w:type="dxa" w:w="626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Fleet CRUD, status, media, maintenance/calendar relationships</w:t>
            </w:r>
          </w:p>
        </w:tc>
      </w:tr>
      <w:tr>
        <w:trPr>
          <w:cantSplit/>
        </w:trPr>
        <w:tc>
          <w:tcPr>
            <w:tcW w:type="dxa" w:w="22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Reservations</w:t>
            </w:r>
          </w:p>
        </w:tc>
        <w:tc>
          <w:tcPr>
            <w:tcW w:type="dxa" w:w="9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18</w:t>
            </w:r>
          </w:p>
        </w:tc>
        <w:tc>
          <w:tcPr>
            <w:tcW w:type="dxa" w:w="626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Lifecycle, contracts, documents, operational transitions</w:t>
            </w:r>
          </w:p>
        </w:tc>
      </w:tr>
      <w:tr>
        <w:trPr>
          <w:cantSplit/>
        </w:trPr>
        <w:tc>
          <w:tcPr>
            <w:tcW w:type="dxa" w:w="22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Carplace</w:t>
            </w:r>
          </w:p>
        </w:tc>
        <w:tc>
          <w:tcPr>
            <w:tcW w:type="dxa" w:w="9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17</w:t>
            </w:r>
          </w:p>
        </w:tc>
        <w:tc>
          <w:tcPr>
            <w:tcW w:type="dxa" w:w="626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Public search, quote, availability, guest booking, funnel</w:t>
            </w:r>
          </w:p>
        </w:tc>
      </w:tr>
      <w:tr>
        <w:trPr>
          <w:cantSplit/>
        </w:trPr>
        <w:tc>
          <w:tcPr>
            <w:tcW w:type="dxa" w:w="22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Subscriptions</w:t>
            </w:r>
          </w:p>
        </w:tc>
        <w:tc>
          <w:tcPr>
            <w:tcW w:type="dxa" w:w="9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17</w:t>
            </w:r>
          </w:p>
        </w:tc>
        <w:tc>
          <w:tcPr>
            <w:tcW w:type="dxa" w:w="626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Plans, checkout, access state, lifecycle automation</w:t>
            </w:r>
          </w:p>
        </w:tc>
      </w:tr>
      <w:tr>
        <w:trPr>
          <w:cantSplit/>
        </w:trPr>
        <w:tc>
          <w:tcPr>
            <w:tcW w:type="dxa" w:w="22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Site</w:t>
            </w:r>
          </w:p>
        </w:tc>
        <w:tc>
          <w:tcPr>
            <w:tcW w:type="dxa" w:w="9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14</w:t>
            </w:r>
          </w:p>
        </w:tc>
        <w:tc>
          <w:tcPr>
            <w:tcW w:type="dxa" w:w="626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Public/site content and configuration</w:t>
            </w:r>
          </w:p>
        </w:tc>
      </w:tr>
      <w:tr>
        <w:trPr>
          <w:cantSplit/>
        </w:trPr>
        <w:tc>
          <w:tcPr>
            <w:tcW w:type="dxa" w:w="22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Notifications</w:t>
            </w:r>
          </w:p>
        </w:tc>
        <w:tc>
          <w:tcPr>
            <w:tcW w:type="dxa" w:w="9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12</w:t>
            </w:r>
          </w:p>
        </w:tc>
        <w:tc>
          <w:tcPr>
            <w:tcW w:type="dxa" w:w="626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Recipients, preferences, in-app state, event creation</w:t>
            </w:r>
          </w:p>
        </w:tc>
      </w:tr>
      <w:tr>
        <w:trPr>
          <w:cantSplit/>
        </w:trPr>
        <w:tc>
          <w:tcPr>
            <w:tcW w:type="dxa" w:w="22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Customers</w:t>
            </w:r>
          </w:p>
        </w:tc>
        <w:tc>
          <w:tcPr>
            <w:tcW w:type="dxa" w:w="9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10</w:t>
            </w:r>
          </w:p>
        </w:tc>
        <w:tc>
          <w:tcPr>
            <w:tcW w:type="dxa" w:w="626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Tenant-scoped customer records and history</w:t>
            </w:r>
          </w:p>
        </w:tc>
      </w:tr>
      <w:tr>
        <w:trPr>
          <w:cantSplit/>
        </w:trPr>
        <w:tc>
          <w:tcPr>
            <w:tcW w:type="dxa" w:w="22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Auth</w:t>
            </w:r>
          </w:p>
        </w:tc>
        <w:tc>
          <w:tcPr>
            <w:tcW w:type="dxa" w:w="9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19</w:t>
            </w:r>
          </w:p>
        </w:tc>
        <w:tc>
          <w:tcPr>
            <w:tcW w:type="dxa" w:w="626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Admin, employee, company, renter, unified, account</w:t>
            </w:r>
          </w:p>
        </w:tc>
      </w:tr>
      <w:tr>
        <w:trPr>
          <w:cantSplit/>
        </w:trPr>
        <w:tc>
          <w:tcPr>
            <w:tcW w:type="dxa" w:w="22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Payments + webhooks</w:t>
            </w:r>
          </w:p>
        </w:tc>
        <w:tc>
          <w:tcPr>
            <w:tcW w:type="dxa" w:w="9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10</w:t>
            </w:r>
          </w:p>
        </w:tc>
        <w:tc>
          <w:tcPr>
            <w:tcW w:type="dxa" w:w="626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Checkout, capture/refund/status, signed provider callbacks</w:t>
            </w:r>
          </w:p>
        </w:tc>
      </w:tr>
      <w:tr>
        <w:trPr>
          <w:cantSplit/>
        </w:trPr>
        <w:tc>
          <w:tcPr>
            <w:tcW w:type="dxa" w:w="22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Other domains</w:t>
            </w:r>
          </w:p>
        </w:tc>
        <w:tc>
          <w:tcPr>
            <w:tcW w:type="dxa" w:w="9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68</w:t>
            </w:r>
          </w:p>
        </w:tc>
        <w:tc>
          <w:tcPr>
            <w:tcW w:type="dxa" w:w="626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Analytics, billing, complaints, offers, reviews, search, team, licenses, companies</w:t>
            </w:r>
          </w:p>
        </w:tc>
      </w:tr>
      <w:tr>
        <w:trPr>
          <w:cantSplit/>
        </w:trPr>
        <w:tc>
          <w:tcPr>
            <w:tcW w:type="dxa" w:w="22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Total</w:t>
            </w:r>
          </w:p>
        </w:tc>
        <w:tc>
          <w:tcPr>
            <w:tcW w:type="dxa" w:w="9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268</w:t>
            </w:r>
          </w:p>
        </w:tc>
        <w:tc>
          <w:tcPr>
            <w:tcW w:type="dxa" w:w="626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Runtime method registrations counted in source</w:t>
            </w:r>
          </w:p>
        </w:tc>
      </w:tr>
    </w:tbl>
    <w:p>
      <w:pPr>
        <w:spacing w:after="20"/>
      </w:pPr>
    </w:p>
    <w:p>
      <w:pPr>
        <w:pStyle w:val="Heading2"/>
      </w:pPr>
      <w:r>
        <w:t>API contracts and errors</w:t>
      </w:r>
    </w:p>
    <w:p>
      <w:pPr>
        <w:keepLines w:val="0"/>
      </w:pPr>
      <w:r>
        <w:rPr>
          <w:rFonts w:ascii="Calibri" w:hAnsi="Calibri" w:cs="Calibri"/>
          <w:b w:val="0"/>
          <w:i w:val="0"/>
        </w:rPr>
        <w:t>Zod schemas validate many request bodies and query parameters. A centralized error layer returns consistent failure responses and propagates request IDs. The manual OpenAPI definition documents 158 operations against 268 runtime handlers—approximately 59% coverage—so it should be treated as a partial reference, not as the authoritative full contract.</w:t>
      </w:r>
    </w:p>
    <w:p>
      <w:pPr>
        <w:keepLines/>
        <w:spacing w:before="100" w:after="200"/>
        <w:ind w:left="173" w:right="115"/>
        <w:shd w:fill="E8EEF5"/>
        <w:pBdr>
          <w:left w:val="single" w:sz="20" w:space="8" w:color="2E74B5"/>
        </w:pBdr>
      </w:pPr>
      <w:r>
        <w:rPr>
          <w:rFonts w:ascii="Calibri" w:hAnsi="Calibri" w:cs="Calibri"/>
          <w:b/>
          <w:color w:val="2E74B5"/>
        </w:rPr>
        <w:t xml:space="preserve">Recommended contract strategy  </w:t>
      </w:r>
      <w:r>
        <w:rPr>
          <w:rFonts w:ascii="Calibri" w:hAnsi="Calibri" w:cs="Calibri"/>
          <w:color w:val="101828"/>
        </w:rPr>
        <w:t>Generate OpenAPI from route schemas or enforce a route-to-contract registry in CI. Use the generated contract for typed frontend clients and provider-facing documentation, and fail CI when a public route lacks an operation definition.</w:t>
      </w:r>
    </w:p>
    <w:p>
      <w:pPr>
        <w:pStyle w:val="Heading2"/>
      </w:pPr>
      <w:r>
        <w:t>Technical debt inside the modular monolith</w:t>
      </w:r>
    </w:p>
    <w:p>
      <w:pPr>
        <w:keepLines/>
        <w:numPr>
          <w:ilvl w:val="0"/>
          <w:numId w:val="10"/>
        </w:numPr>
        <w:spacing w:after="160" w:line="280" w:lineRule="auto"/>
      </w:pPr>
      <w:r>
        <w:rPr>
          <w:rFonts w:ascii="Calibri" w:hAnsi="Calibri" w:cs="Calibri"/>
        </w:rPr>
        <w:t>Legacy and newer billing entities coexist, increasing reconciliation and migration complexity.</w:t>
      </w:r>
    </w:p>
    <w:p>
      <w:pPr>
        <w:keepLines/>
        <w:numPr>
          <w:ilvl w:val="0"/>
          <w:numId w:val="10"/>
        </w:numPr>
        <w:spacing w:after="160" w:line="280" w:lineRule="auto"/>
      </w:pPr>
      <w:r>
        <w:rPr>
          <w:rFonts w:ascii="Calibri" w:hAnsi="Calibri" w:cs="Calibri"/>
        </w:rPr>
        <w:t>Legacy Notification and event/outbox notification models coexist.</w:t>
      </w:r>
    </w:p>
    <w:p>
      <w:pPr>
        <w:keepLines/>
        <w:numPr>
          <w:ilvl w:val="0"/>
          <w:numId w:val="10"/>
        </w:numPr>
        <w:spacing w:after="160" w:line="280" w:lineRule="auto"/>
      </w:pPr>
      <w:r>
        <w:rPr>
          <w:rFonts w:ascii="Calibri" w:hAnsi="Calibri" w:cs="Calibri"/>
        </w:rPr>
        <w:t>Several dependencies appear repeated or unused across frontends and API, increasing audit and upgrade surface.</w:t>
      </w:r>
    </w:p>
    <w:p>
      <w:pPr>
        <w:keepLines/>
        <w:numPr>
          <w:ilvl w:val="0"/>
          <w:numId w:val="10"/>
        </w:numPr>
        <w:spacing w:after="160" w:line="280" w:lineRule="auto"/>
      </w:pPr>
      <w:r>
        <w:rPr>
          <w:rFonts w:ascii="Calibri" w:hAnsi="Calibri" w:cs="Calibri"/>
        </w:rPr>
        <w:t>Some security-sensitive mutations do not yet have complete audit coverage according to internal hardening notes and route inspection.</w:t>
      </w:r>
    </w:p>
    <w:p>
      <w:pPr>
        <w:keepLines/>
        <w:numPr>
          <w:ilvl w:val="0"/>
          <w:numId w:val="10"/>
        </w:numPr>
        <w:spacing w:after="160" w:line="280" w:lineRule="auto"/>
      </w:pPr>
      <w:r>
        <w:rPr>
          <w:rFonts w:ascii="Calibri" w:hAnsi="Calibri" w:cs="Calibri"/>
        </w:rPr>
        <w:t>Health is liveness-only; it does not attest database, Redis, file storage, migration, or provider readiness.</w:t>
      </w:r>
    </w:p>
    <w:p>
      <w:pPr>
        <w:pStyle w:val="Heading1"/>
      </w:pPr>
      <w:r>
        <w:t>6. Data architecture</w:t>
      </w:r>
    </w:p>
    <w:p>
      <w:pPr>
        <w:keepLines/>
        <w:spacing w:before="120" w:after="40"/>
        <w:jc w:val="center"/>
      </w:pPr>
      <w:r>
        <w:drawing>
          <wp:inline xmlns:a="http://schemas.openxmlformats.org/drawingml/2006/main" xmlns:pic="http://schemas.openxmlformats.org/drawingml/2006/picture">
            <wp:extent cx="5760720" cy="3584448"/>
            <wp:docPr id="3" name="Picture 3" descr="Figure 3. Simplified core relational model. Company is the dominant tenant root; Reservation connects commercial and operational evidence." title="Core Data Model"/>
            <wp:cNvGraphicFramePr>
              <a:graphicFrameLocks noChangeAspect="1"/>
            </wp:cNvGraphicFramePr>
            <a:graphic>
              <a:graphicData uri="http://schemas.openxmlformats.org/drawingml/2006/picture">
                <pic:pic>
                  <pic:nvPicPr>
                    <pic:cNvPr id="0" name="core_data_model.png"/>
                    <pic:cNvPicPr/>
                  </pic:nvPicPr>
                  <pic:blipFill>
                    <a:blip r:embed="rId13"/>
                    <a:stretch>
                      <a:fillRect/>
                    </a:stretch>
                  </pic:blipFill>
                  <pic:spPr>
                    <a:xfrm>
                      <a:off x="0" y="0"/>
                      <a:ext cx="5760720" cy="3584448"/>
                    </a:xfrm>
                    <a:prstGeom prst="rect"/>
                  </pic:spPr>
                </pic:pic>
              </a:graphicData>
            </a:graphic>
          </wp:inline>
        </w:drawing>
      </w:r>
    </w:p>
    <w:p>
      <w:pPr>
        <w:pStyle w:val="Caption"/>
        <w:keepNext w:val="0"/>
      </w:pPr>
      <w:r>
        <w:t>Figure 3. Simplified core relational model. Company is the dominant tenant root; Reservation connects commercial and operational evidence.</w:t>
      </w:r>
    </w:p>
    <w:p>
      <w:pPr>
        <w:pStyle w:val="Heading2"/>
      </w:pPr>
      <w:r>
        <w:t>Data platform</w:t>
      </w:r>
    </w:p>
    <w:p>
      <w:pPr>
        <w:keepLines w:val="0"/>
      </w:pPr>
      <w:r>
        <w:rPr>
          <w:rFonts w:ascii="Calibri" w:hAnsi="Calibri" w:cs="Calibri"/>
          <w:b w:val="0"/>
          <w:i w:val="0"/>
        </w:rPr>
        <w:t>PostgreSQL is the system of record, accessed through Prisma 5.13. The 2,143-line schema defines 67 models and 60 enums, supported by 49 migration directories totaling approximately 3,393 SQL lines. This is a deep operational schema with explicit lifecycle state, historical records, and tenant indexes.</w:t>
      </w:r>
    </w:p>
    <w:p>
      <w:pPr>
        <w:pStyle w:val="Heading2"/>
      </w:pPr>
      <w:r>
        <w:t>Tenant isolation model</w:t>
      </w:r>
    </w:p>
    <w:p>
      <w:pPr>
        <w:keepLines w:val="0"/>
      </w:pPr>
      <w:r>
        <w:rPr>
          <w:rFonts w:ascii="Calibri" w:hAnsi="Calibri" w:cs="Calibri"/>
          <w:b w:val="0"/>
          <w:i w:val="0"/>
        </w:rPr>
        <w:t>Company is the primary tenant root. Tenant-aware repositories receive or derive companyId, and company/employee middleware resolves an authenticated actor to an active company. Most business records—including vehicles, customers, reservations, offers, complaints, billing records, preferences, and settings—carry company scoping or reach it through required relations. This is application-enforced logical isolation, not database-per-tenant isolation.</w:t>
      </w:r>
    </w:p>
    <w:p>
      <w:pPr>
        <w:keepLines/>
        <w:numPr>
          <w:ilvl w:val="0"/>
          <w:numId w:val="10"/>
        </w:numPr>
        <w:spacing w:after="160" w:line="280" w:lineRule="auto"/>
      </w:pPr>
      <w:r>
        <w:rPr>
          <w:rFonts w:ascii="Calibri" w:hAnsi="Calibri" w:cs="Calibri"/>
        </w:rPr>
        <w:t>Advantage: one schema enables cross-domain transactions and platform-wide administration.</w:t>
      </w:r>
    </w:p>
    <w:p>
      <w:pPr>
        <w:keepLines/>
        <w:numPr>
          <w:ilvl w:val="0"/>
          <w:numId w:val="10"/>
        </w:numPr>
        <w:spacing w:after="160" w:line="280" w:lineRule="auto"/>
      </w:pPr>
      <w:r>
        <w:rPr>
          <w:rFonts w:ascii="Calibri" w:hAnsi="Calibri" w:cs="Calibri"/>
        </w:rPr>
        <w:t>Risk: tenant isolation depends on every query path preserving company predicates; database row-level security is not evidenced.</w:t>
      </w:r>
    </w:p>
    <w:p>
      <w:pPr>
        <w:keepLines/>
        <w:numPr>
          <w:ilvl w:val="0"/>
          <w:numId w:val="10"/>
        </w:numPr>
        <w:spacing w:after="160" w:line="280" w:lineRule="auto"/>
      </w:pPr>
      <w:r>
        <w:rPr>
          <w:rFonts w:ascii="Calibri" w:hAnsi="Calibri" w:cs="Calibri"/>
        </w:rPr>
        <w:t>Control implication: repository-level tenancy contract tests and query review are essential, especially for new admin, search, reporting, export, and public routes.</w:t>
      </w:r>
    </w:p>
    <w:p>
      <w:pPr>
        <w:pStyle w:val="Heading2"/>
      </w:pPr>
      <w:r>
        <w:t>Core domain relationships</w:t>
      </w:r>
    </w:p>
    <w:tbl>
      <w:tblPr>
        <w:tblW w:type="dxa" w:w="9360"/>
        <w:jc w:val="left"/>
        <w:tblLayout w:type="fixed"/>
        <w:tblLook w:firstColumn="1" w:firstRow="1" w:lastColumn="0" w:lastRow="0" w:noHBand="0" w:noVBand="1" w:val="04A0"/>
        <w:tblInd w:w="120" w:type="dxa"/>
        <w:tblBorders>
          <w:top w:val="single" w:sz="4" w:space="0" w:color="D0D5DD"/>
          <w:left w:val="single" w:sz="4" w:space="0" w:color="D0D5DD"/>
          <w:bottom w:val="single" w:sz="4" w:space="0" w:color="D0D5DD"/>
          <w:right w:val="single" w:sz="4" w:space="0" w:color="D0D5DD"/>
          <w:insideH w:val="single" w:sz="4" w:space="0" w:color="D0D5DD"/>
          <w:insideV w:val="single" w:sz="4" w:space="0" w:color="D0D5DD"/>
        </w:tblBorders>
      </w:tblPr>
      <w:tblGrid>
        <w:gridCol w:w="1600"/>
        <w:gridCol w:w="4050"/>
        <w:gridCol w:w="3710"/>
      </w:tblGrid>
      <w:tr>
        <w:trPr>
          <w:tblHeader w:val="true"/>
          <w:cantSplit/>
        </w:trPr>
        <w:tc>
          <w:tcPr>
            <w:tcW w:type="dxa" w:w="1600"/>
            <w:tcMar>
              <w:top w:w="80" w:type="dxa"/>
              <w:start w:w="120" w:type="dxa"/>
              <w:bottom w:w="80" w:type="dxa"/>
              <w:end w:w="120" w:type="dxa"/>
            </w:tcMar>
            <w:shd w:fill="F2F4F7"/>
            <w:vAlign w:val="center"/>
          </w:tcPr>
          <w:p>
            <w:pPr>
              <w:spacing w:before="0" w:after="0" w:line="252" w:lineRule="auto"/>
            </w:pPr>
            <w:r/>
            <w:r>
              <w:rPr>
                <w:rFonts w:ascii="Calibri" w:hAnsi="Calibri" w:cs="Calibri"/>
                <w:b/>
                <w:color w:val="0B2545"/>
                <w:sz w:val="17"/>
              </w:rPr>
              <w:t>Aggregate</w:t>
            </w:r>
          </w:p>
        </w:tc>
        <w:tc>
          <w:tcPr>
            <w:tcW w:type="dxa" w:w="4050"/>
            <w:tcMar>
              <w:top w:w="80" w:type="dxa"/>
              <w:start w:w="120" w:type="dxa"/>
              <w:bottom w:w="80" w:type="dxa"/>
              <w:end w:w="120" w:type="dxa"/>
            </w:tcMar>
            <w:shd w:fill="F2F4F7"/>
            <w:vAlign w:val="center"/>
          </w:tcPr>
          <w:p>
            <w:pPr>
              <w:spacing w:before="0" w:after="0" w:line="252" w:lineRule="auto"/>
            </w:pPr>
            <w:r/>
            <w:r>
              <w:rPr>
                <w:rFonts w:ascii="Calibri" w:hAnsi="Calibri" w:cs="Calibri"/>
                <w:b/>
                <w:color w:val="0B2545"/>
                <w:sz w:val="17"/>
              </w:rPr>
              <w:t>Key relationships</w:t>
            </w:r>
          </w:p>
        </w:tc>
        <w:tc>
          <w:tcPr>
            <w:tcW w:type="dxa" w:w="3710"/>
            <w:tcMar>
              <w:top w:w="80" w:type="dxa"/>
              <w:start w:w="120" w:type="dxa"/>
              <w:bottom w:w="80" w:type="dxa"/>
              <w:end w:w="120" w:type="dxa"/>
            </w:tcMar>
            <w:shd w:fill="F2F4F7"/>
            <w:vAlign w:val="center"/>
          </w:tcPr>
          <w:p>
            <w:pPr>
              <w:spacing w:before="0" w:after="0" w:line="252" w:lineRule="auto"/>
            </w:pPr>
            <w:r/>
            <w:r>
              <w:rPr>
                <w:rFonts w:ascii="Calibri" w:hAnsi="Calibri" w:cs="Calibri"/>
                <w:b/>
                <w:color w:val="0B2545"/>
                <w:sz w:val="17"/>
              </w:rPr>
              <w:t>Design significance</w:t>
            </w:r>
          </w:p>
        </w:tc>
      </w:tr>
      <w:tr>
        <w:trPr>
          <w:cantSplit/>
        </w:trPr>
        <w:tc>
          <w:tcPr>
            <w:tcW w:type="dxa" w:w="16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Company</w:t>
            </w:r>
          </w:p>
        </w:tc>
        <w:tc>
          <w:tcPr>
            <w:tcW w:type="dxa" w:w="405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Employees, vehicles, customers, reservations, offers, subscription, billing, settings, notifications, complaints</w:t>
            </w:r>
          </w:p>
        </w:tc>
        <w:tc>
          <w:tcPr>
            <w:tcW w:type="dxa" w:w="371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Tenant ownership and configuration boundary.</w:t>
            </w:r>
          </w:p>
        </w:tc>
      </w:tr>
      <w:tr>
        <w:trPr>
          <w:cantSplit/>
        </w:trPr>
        <w:tc>
          <w:tcPr>
            <w:tcW w:type="dxa" w:w="16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Vehicle</w:t>
            </w:r>
          </w:p>
        </w:tc>
        <w:tc>
          <w:tcPr>
            <w:tcW w:type="dxa" w:w="405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Reservations, maintenance logs, calendar blocks, pricing configuration/rules/history</w:t>
            </w:r>
          </w:p>
        </w:tc>
        <w:tc>
          <w:tcPr>
            <w:tcW w:type="dxa" w:w="371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Connects inventory, availability, pricing, and operating cost.</w:t>
            </w:r>
          </w:p>
        </w:tc>
      </w:tr>
      <w:tr>
        <w:trPr>
          <w:cantSplit/>
        </w:trPr>
        <w:tc>
          <w:tcPr>
            <w:tcW w:type="dxa" w:w="16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Customer</w:t>
            </w:r>
          </w:p>
        </w:tc>
        <w:tc>
          <w:tcPr>
            <w:tcW w:type="dxa" w:w="405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Reservations, complaints; optional renter identifier</w:t>
            </w:r>
          </w:p>
        </w:tc>
        <w:tc>
          <w:tcPr>
            <w:tcW w:type="dxa" w:w="371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Tenant CRM identity. An optional renterId scalar lacks an explicit Prisma relation.</w:t>
            </w:r>
          </w:p>
        </w:tc>
      </w:tr>
      <w:tr>
        <w:trPr>
          <w:cantSplit/>
        </w:trPr>
        <w:tc>
          <w:tcPr>
            <w:tcW w:type="dxa" w:w="16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Reservation</w:t>
            </w:r>
          </w:p>
        </w:tc>
        <w:tc>
          <w:tcPr>
            <w:tcW w:type="dxa" w:w="405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Company, vehicle, customer, optional renter/offer, payments, insurance, drivers, damage, photos, review, public access</w:t>
            </w:r>
          </w:p>
        </w:tc>
        <w:tc>
          <w:tcPr>
            <w:tcW w:type="dxa" w:w="371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Central transactional and evidentiary record.</w:t>
            </w:r>
          </w:p>
        </w:tc>
      </w:tr>
      <w:tr>
        <w:trPr>
          <w:cantSplit/>
        </w:trPr>
        <w:tc>
          <w:tcPr>
            <w:tcW w:type="dxa" w:w="16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Subscription</w:t>
            </w:r>
          </w:p>
        </w:tc>
        <w:tc>
          <w:tcPr>
            <w:tcW w:type="dxa" w:w="405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Plan, events, invoices, billing account/payment intent/attempt/refund/tax/credit</w:t>
            </w:r>
          </w:p>
        </w:tc>
        <w:tc>
          <w:tcPr>
            <w:tcW w:type="dxa" w:w="371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SaaS monetization and feature-access state.</w:t>
            </w:r>
          </w:p>
        </w:tc>
      </w:tr>
      <w:tr>
        <w:trPr>
          <w:cantSplit/>
        </w:trPr>
        <w:tc>
          <w:tcPr>
            <w:tcW w:type="dxa" w:w="16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NotificationEvent</w:t>
            </w:r>
          </w:p>
        </w:tc>
        <w:tc>
          <w:tcPr>
            <w:tcW w:type="dxa" w:w="405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Recipients, deliveries, outbox, templates/preferences</w:t>
            </w:r>
          </w:p>
        </w:tc>
        <w:tc>
          <w:tcPr>
            <w:tcW w:type="dxa" w:w="371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Durable intent and delivery bookkeeping; worker is incomplete.</w:t>
            </w:r>
          </w:p>
        </w:tc>
      </w:tr>
      <w:tr>
        <w:trPr>
          <w:cantSplit/>
        </w:trPr>
        <w:tc>
          <w:tcPr>
            <w:tcW w:type="dxa" w:w="16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AdminUser</w:t>
            </w:r>
          </w:p>
        </w:tc>
        <w:tc>
          <w:tcPr>
            <w:tcW w:type="dxa" w:w="405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Permissions, recovery codes, audit logs</w:t>
            </w:r>
          </w:p>
        </w:tc>
        <w:tc>
          <w:tcPr>
            <w:tcW w:type="dxa" w:w="371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Global platform-control identity separate from tenant employees.</w:t>
            </w:r>
          </w:p>
        </w:tc>
      </w:tr>
    </w:tbl>
    <w:p>
      <w:pPr>
        <w:spacing w:after="20"/>
      </w:pPr>
    </w:p>
    <w:p>
      <w:pPr>
        <w:pStyle w:val="Heading2"/>
      </w:pPr>
      <w:r>
        <w:t>Data consistency concerns</w:t>
      </w:r>
    </w:p>
    <w:p>
      <w:pPr>
        <w:keepLines/>
        <w:numPr>
          <w:ilvl w:val="0"/>
          <w:numId w:val="10"/>
        </w:numPr>
        <w:spacing w:after="160" w:line="280" w:lineRule="auto"/>
      </w:pPr>
      <w:r>
        <w:rPr>
          <w:rFonts w:ascii="Calibri" w:hAnsi="Calibri" w:cs="Calibri"/>
        </w:rPr>
        <w:t>The billing domain contains legacy SubscriptionInvoice / PaymentAttempt records and a newer BillingInvoice / BillingPaymentIntent family; migration and source-of-truth rules must be explicit.</w:t>
      </w:r>
    </w:p>
    <w:p>
      <w:pPr>
        <w:keepLines/>
        <w:numPr>
          <w:ilvl w:val="0"/>
          <w:numId w:val="10"/>
        </w:numPr>
        <w:spacing w:after="160" w:line="280" w:lineRule="auto"/>
      </w:pPr>
      <w:r>
        <w:rPr>
          <w:rFonts w:ascii="Calibri" w:hAnsi="Calibri" w:cs="Calibri"/>
        </w:rPr>
        <w:t>Notification has both a legacy single-record model and a richer event/recipient/delivery/outbox model; reads and retention should converge on one lifecycle.</w:t>
      </w:r>
    </w:p>
    <w:p>
      <w:pPr>
        <w:keepLines/>
        <w:numPr>
          <w:ilvl w:val="0"/>
          <w:numId w:val="10"/>
        </w:numPr>
        <w:spacing w:after="160" w:line="280" w:lineRule="auto"/>
      </w:pPr>
      <w:r>
        <w:rPr>
          <w:rFonts w:ascii="Calibri" w:hAnsi="Calibri" w:cs="Calibri"/>
        </w:rPr>
        <w:t>Customer-to-renter linkage is represented by a scalar without a declared Prisma relation, reducing referential clarity.</w:t>
      </w:r>
    </w:p>
    <w:p>
      <w:pPr>
        <w:keepLines/>
        <w:numPr>
          <w:ilvl w:val="0"/>
          <w:numId w:val="10"/>
        </w:numPr>
        <w:spacing w:after="160" w:line="280" w:lineRule="auto"/>
      </w:pPr>
      <w:r>
        <w:rPr>
          <w:rFonts w:ascii="Calibri" w:hAnsi="Calibri" w:cs="Calibri"/>
        </w:rPr>
        <w:t>The container migration is a no-op placeholder and the expected CompanyContainer model is absent, while service/UI code assumes it exists.</w:t>
      </w:r>
    </w:p>
    <w:p>
      <w:pPr>
        <w:keepLines/>
        <w:numPr>
          <w:ilvl w:val="0"/>
          <w:numId w:val="10"/>
        </w:numPr>
        <w:spacing w:after="160" w:line="280" w:lineRule="auto"/>
      </w:pPr>
      <w:r>
        <w:rPr>
          <w:rFonts w:ascii="Calibri" w:hAnsi="Calibri" w:cs="Calibri"/>
        </w:rPr>
        <w:t>No database-enforced row-level security, field encryption, retention automation, or anonymization workflow was evidenced for personal data.</w:t>
      </w:r>
    </w:p>
    <w:p>
      <w:pPr>
        <w:pStyle w:val="Heading2"/>
      </w:pPr>
      <w:r>
        <w:t>Backup and recovery</w:t>
      </w:r>
    </w:p>
    <w:p>
      <w:pPr>
        <w:keepLines w:val="0"/>
      </w:pPr>
      <w:r>
        <w:rPr>
          <w:rFonts w:ascii="Calibri" w:hAnsi="Calibri" w:cs="Calibri"/>
          <w:b w:val="0"/>
          <w:i w:val="0"/>
        </w:rPr>
        <w:t>Root scripts reference production backup and restore commands, but their implementation and Compose environment are absent. There is therefore no supplied evidence for backup schedule, point-in-time recovery, encryption, retention, off-site replication, restore testing, or recovery objectives. This is a production gate, not a documentation nicety.</w:t>
      </w:r>
    </w:p>
    <w:p>
      <w:pPr>
        <w:pStyle w:val="Heading1"/>
      </w:pPr>
      <w:r>
        <w:t>7. Identity, tenancy, and access control</w:t>
      </w:r>
    </w:p>
    <w:p>
      <w:pPr>
        <w:pStyle w:val="Heading2"/>
      </w:pPr>
      <w:r>
        <w:t>Authentication model</w:t>
      </w:r>
    </w:p>
    <w:p>
      <w:pPr>
        <w:keepLines w:val="0"/>
      </w:pPr>
      <w:r>
        <w:rPr>
          <w:rFonts w:ascii="Calibri" w:hAnsi="Calibri" w:cs="Calibri"/>
          <w:b w:val="0"/>
          <w:i w:val="0"/>
        </w:rPr>
        <w:t>The platform uses HMAC-signed JWTs with HS256, issuer rentaldrivego-api, and actor-specific audiences for administrators, employees, and renters. Authentication can arrive through HttpOnly cookies or bearer tokens. The JWT secret is required. Cookie settings vary by actor: admin cookies use SameSite=Strict, while other browser sessions use Lax; production cookies are Secure.</w:t>
      </w:r>
    </w:p>
    <w:tbl>
      <w:tblPr>
        <w:tblW w:type="dxa" w:w="9360"/>
        <w:jc w:val="left"/>
        <w:tblLayout w:type="fixed"/>
        <w:tblLook w:firstColumn="1" w:firstRow="1" w:lastColumn="0" w:lastRow="0" w:noHBand="0" w:noVBand="1" w:val="04A0"/>
        <w:tblInd w:w="120" w:type="dxa"/>
        <w:tblBorders>
          <w:top w:val="single" w:sz="4" w:space="0" w:color="D0D5DD"/>
          <w:left w:val="single" w:sz="4" w:space="0" w:color="D0D5DD"/>
          <w:bottom w:val="single" w:sz="4" w:space="0" w:color="D0D5DD"/>
          <w:right w:val="single" w:sz="4" w:space="0" w:color="D0D5DD"/>
          <w:insideH w:val="single" w:sz="4" w:space="0" w:color="D0D5DD"/>
          <w:insideV w:val="single" w:sz="4" w:space="0" w:color="D0D5DD"/>
        </w:tblBorders>
      </w:tblPr>
      <w:tblGrid>
        <w:gridCol w:w="1700"/>
        <w:gridCol w:w="3000"/>
        <w:gridCol w:w="4660"/>
      </w:tblGrid>
      <w:tr>
        <w:trPr>
          <w:tblHeader w:val="true"/>
          <w:cantSplit/>
        </w:trPr>
        <w:tc>
          <w:tcPr>
            <w:tcW w:type="dxa" w:w="1700"/>
            <w:tcMar>
              <w:top w:w="80" w:type="dxa"/>
              <w:start w:w="120" w:type="dxa"/>
              <w:bottom w:w="80" w:type="dxa"/>
              <w:end w:w="120" w:type="dxa"/>
            </w:tcMar>
            <w:shd w:fill="F2F4F7"/>
            <w:vAlign w:val="center"/>
          </w:tcPr>
          <w:p>
            <w:pPr>
              <w:spacing w:before="0" w:after="0" w:line="252" w:lineRule="auto"/>
            </w:pPr>
            <w:r/>
            <w:r>
              <w:rPr>
                <w:rFonts w:ascii="Calibri" w:hAnsi="Calibri" w:cs="Calibri"/>
                <w:b/>
                <w:color w:val="0B2545"/>
                <w:sz w:val="17"/>
              </w:rPr>
              <w:t>Actor</w:t>
            </w:r>
          </w:p>
        </w:tc>
        <w:tc>
          <w:tcPr>
            <w:tcW w:type="dxa" w:w="3000"/>
            <w:tcMar>
              <w:top w:w="80" w:type="dxa"/>
              <w:start w:w="120" w:type="dxa"/>
              <w:bottom w:w="80" w:type="dxa"/>
              <w:end w:w="120" w:type="dxa"/>
            </w:tcMar>
            <w:shd w:fill="F2F4F7"/>
            <w:vAlign w:val="center"/>
          </w:tcPr>
          <w:p>
            <w:pPr>
              <w:spacing w:before="0" w:after="0" w:line="252" w:lineRule="auto"/>
            </w:pPr>
            <w:r/>
            <w:r>
              <w:rPr>
                <w:rFonts w:ascii="Calibri" w:hAnsi="Calibri" w:cs="Calibri"/>
                <w:b/>
                <w:color w:val="0B2545"/>
                <w:sz w:val="17"/>
              </w:rPr>
              <w:t>Authentication</w:t>
            </w:r>
          </w:p>
        </w:tc>
        <w:tc>
          <w:tcPr>
            <w:tcW w:type="dxa" w:w="4660"/>
            <w:tcMar>
              <w:top w:w="80" w:type="dxa"/>
              <w:start w:w="120" w:type="dxa"/>
              <w:bottom w:w="80" w:type="dxa"/>
              <w:end w:w="120" w:type="dxa"/>
            </w:tcMar>
            <w:shd w:fill="F2F4F7"/>
            <w:vAlign w:val="center"/>
          </w:tcPr>
          <w:p>
            <w:pPr>
              <w:spacing w:before="0" w:after="0" w:line="252" w:lineRule="auto"/>
            </w:pPr>
            <w:r/>
            <w:r>
              <w:rPr>
                <w:rFonts w:ascii="Calibri" w:hAnsi="Calibri" w:cs="Calibri"/>
                <w:b/>
                <w:color w:val="0B2545"/>
                <w:sz w:val="17"/>
              </w:rPr>
              <w:t>Authorization</w:t>
            </w:r>
          </w:p>
        </w:tc>
      </w:tr>
      <w:tr>
        <w:trPr>
          <w:cantSplit/>
        </w:trPr>
        <w:tc>
          <w:tcPr>
            <w:tcW w:type="dxa" w:w="17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Platform admin</w:t>
            </w:r>
          </w:p>
        </w:tc>
        <w:tc>
          <w:tcPr>
            <w:tcW w:type="dxa" w:w="30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JWT cookie/bearer, admin account, TOTP 2FA</w:t>
            </w:r>
          </w:p>
        </w:tc>
        <w:tc>
          <w:tcPr>
            <w:tcW w:type="dxa" w:w="466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Explicit allowlists: SUPER_ADMIN, ADMIN, SUPPORT, FINANCE, VIEWER; fresh 2FA for sensitive paths.</w:t>
            </w:r>
          </w:p>
        </w:tc>
      </w:tr>
      <w:tr>
        <w:trPr>
          <w:cantSplit/>
        </w:trPr>
        <w:tc>
          <w:tcPr>
            <w:tcW w:type="dxa" w:w="17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Tenant employee</w:t>
            </w:r>
          </w:p>
        </w:tc>
        <w:tc>
          <w:tcPr>
            <w:tcW w:type="dxa" w:w="30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JWT cookie/bearer, active employee and company lookup</w:t>
            </w:r>
          </w:p>
        </w:tc>
        <w:tc>
          <w:tcPr>
            <w:tcW w:type="dxa" w:w="466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OWNER / MANAGER / AGENT rank checks plus tenant and subscription gates.</w:t>
            </w:r>
          </w:p>
        </w:tc>
      </w:tr>
      <w:tr>
        <w:trPr>
          <w:cantSplit/>
        </w:trPr>
        <w:tc>
          <w:tcPr>
            <w:tcW w:type="dxa" w:w="17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Renter</w:t>
            </w:r>
          </w:p>
        </w:tc>
        <w:tc>
          <w:tcPr>
            <w:tcW w:type="dxa" w:w="30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JWT audience and account model exist</w:t>
            </w:r>
          </w:p>
        </w:tc>
        <w:tc>
          <w:tcPr>
            <w:tcW w:type="dxa" w:w="466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Public/guest marketplace dominates; renter login/signup routes are disabled in reviewed routing.</w:t>
            </w:r>
          </w:p>
        </w:tc>
      </w:tr>
      <w:tr>
        <w:trPr>
          <w:cantSplit/>
        </w:trPr>
        <w:tc>
          <w:tcPr>
            <w:tcW w:type="dxa" w:w="17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API key</w:t>
            </w:r>
          </w:p>
        </w:tc>
        <w:tc>
          <w:tcPr>
            <w:tcW w:type="dxa" w:w="30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Prefix lookup, SHA-256 hash, timing-safe comparison, revocation</w:t>
            </w:r>
          </w:p>
        </w:tc>
        <w:tc>
          <w:tcPr>
            <w:tcW w:type="dxa" w:w="466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Selected integrations scoped by key metadata and tenant.</w:t>
            </w:r>
          </w:p>
        </w:tc>
      </w:tr>
      <w:tr>
        <w:trPr>
          <w:cantSplit/>
        </w:trPr>
        <w:tc>
          <w:tcPr>
            <w:tcW w:type="dxa" w:w="17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Public access token</w:t>
            </w:r>
          </w:p>
        </w:tc>
        <w:tc>
          <w:tcPr>
            <w:tcW w:type="dxa" w:w="30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Random opaque token; stored hashed</w:t>
            </w:r>
          </w:p>
        </w:tc>
        <w:tc>
          <w:tcPr>
            <w:tcW w:type="dxa" w:w="466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Narrow reservation/public-resource access.</w:t>
            </w:r>
          </w:p>
        </w:tc>
      </w:tr>
    </w:tbl>
    <w:p>
      <w:pPr>
        <w:spacing w:after="20"/>
      </w:pPr>
    </w:p>
    <w:p>
      <w:pPr>
        <w:pStyle w:val="Heading2"/>
      </w:pPr>
      <w:r>
        <w:t>Control strengths</w:t>
      </w:r>
    </w:p>
    <w:p>
      <w:pPr>
        <w:keepLines/>
        <w:numPr>
          <w:ilvl w:val="0"/>
          <w:numId w:val="10"/>
        </w:numPr>
        <w:spacing w:after="160" w:line="280" w:lineRule="auto"/>
      </w:pPr>
      <w:r>
        <w:rPr>
          <w:rFonts w:ascii="Calibri" w:hAnsi="Calibri" w:cs="Calibri"/>
        </w:rPr>
        <w:t>Passwords use bcrypt with cost 12.</w:t>
      </w:r>
    </w:p>
    <w:p>
      <w:pPr>
        <w:keepLines/>
        <w:numPr>
          <w:ilvl w:val="0"/>
          <w:numId w:val="10"/>
        </w:numPr>
        <w:spacing w:after="160" w:line="280" w:lineRule="auto"/>
      </w:pPr>
      <w:r>
        <w:rPr>
          <w:rFonts w:ascii="Calibri" w:hAnsi="Calibri" w:cs="Calibri"/>
        </w:rPr>
        <w:t>Email verification tokens and API keys are stored as hashes; API-key comparison is timing-safe.</w:t>
      </w:r>
    </w:p>
    <w:p>
      <w:pPr>
        <w:keepLines/>
        <w:numPr>
          <w:ilvl w:val="0"/>
          <w:numId w:val="10"/>
        </w:numPr>
        <w:spacing w:after="160" w:line="280" w:lineRule="auto"/>
      </w:pPr>
      <w:r>
        <w:rPr>
          <w:rFonts w:ascii="Calibri" w:hAnsi="Calibri" w:cs="Calibri"/>
        </w:rPr>
        <w:t>Administrative two-factor enrollment and freshness gates are explicit, with recovery-code support.</w:t>
      </w:r>
    </w:p>
    <w:p>
      <w:pPr>
        <w:keepLines/>
        <w:numPr>
          <w:ilvl w:val="0"/>
          <w:numId w:val="10"/>
        </w:numPr>
        <w:spacing w:after="160" w:line="280" w:lineRule="auto"/>
      </w:pPr>
      <w:r>
        <w:rPr>
          <w:rFonts w:ascii="Calibri" w:hAnsi="Calibri" w:cs="Calibri"/>
        </w:rPr>
        <w:t>Tenant middleware reloads active company context rather than trusting a client-supplied tenant identifier.</w:t>
      </w:r>
    </w:p>
    <w:p>
      <w:pPr>
        <w:keepLines/>
        <w:numPr>
          <w:ilvl w:val="0"/>
          <w:numId w:val="10"/>
        </w:numPr>
        <w:spacing w:after="160" w:line="280" w:lineRule="auto"/>
      </w:pPr>
      <w:r>
        <w:rPr>
          <w:rFonts w:ascii="Calibri" w:hAnsi="Calibri" w:cs="Calibri"/>
        </w:rPr>
        <w:t>Subscription middleware distinguishes read, write, and full-access states.</w:t>
      </w:r>
    </w:p>
    <w:p>
      <w:pPr>
        <w:keepLines/>
        <w:numPr>
          <w:ilvl w:val="0"/>
          <w:numId w:val="10"/>
        </w:numPr>
        <w:spacing w:after="160" w:line="280" w:lineRule="auto"/>
      </w:pPr>
      <w:r>
        <w:rPr>
          <w:rFonts w:ascii="Calibri" w:hAnsi="Calibri" w:cs="Calibri"/>
        </w:rPr>
        <w:t>Cookie-authenticated mutations are protected by allowed Origin/Referer checks to reduce CSRF risk.</w:t>
      </w:r>
    </w:p>
    <w:p>
      <w:pPr>
        <w:pStyle w:val="Heading2"/>
      </w:pPr>
      <w:r>
        <w:t>Control gaps</w:t>
      </w:r>
    </w:p>
    <w:p>
      <w:pPr>
        <w:keepLines/>
        <w:numPr>
          <w:ilvl w:val="0"/>
          <w:numId w:val="10"/>
        </w:numPr>
        <w:spacing w:after="160" w:line="280" w:lineRule="auto"/>
      </w:pPr>
      <w:r>
        <w:rPr>
          <w:rFonts w:ascii="Calibri" w:hAnsi="Calibri" w:cs="Calibri"/>
        </w:rPr>
        <w:t>HS256 centralizes signing and verification in one secret; secret rotation, KMS/HSM custody, key IDs, and overlap procedures are not evidenced.</w:t>
      </w:r>
    </w:p>
    <w:p>
      <w:pPr>
        <w:keepLines/>
        <w:numPr>
          <w:ilvl w:val="0"/>
          <w:numId w:val="10"/>
        </w:numPr>
        <w:spacing w:after="160" w:line="280" w:lineRule="auto"/>
      </w:pPr>
      <w:r>
        <w:rPr>
          <w:rFonts w:ascii="Calibri" w:hAnsi="Calibri" w:cs="Calibri"/>
        </w:rPr>
        <w:t>Rate limits default to process-local memory. Actor/IP policies therefore do not coordinate across replicas and reset on restart.</w:t>
      </w:r>
    </w:p>
    <w:p>
      <w:pPr>
        <w:keepLines/>
        <w:numPr>
          <w:ilvl w:val="0"/>
          <w:numId w:val="10"/>
        </w:numPr>
        <w:spacing w:after="160" w:line="280" w:lineRule="auto"/>
      </w:pPr>
      <w:r>
        <w:rPr>
          <w:rFonts w:ascii="Calibri" w:hAnsi="Calibri" w:cs="Calibri"/>
        </w:rPr>
        <w:t>A team-invite path stores a raw password-reset token in the database; token-at-rest exposure should be removed by storing only a hash or a one-time exchange reference.</w:t>
      </w:r>
    </w:p>
    <w:p>
      <w:pPr>
        <w:keepLines/>
        <w:numPr>
          <w:ilvl w:val="0"/>
          <w:numId w:val="10"/>
        </w:numPr>
        <w:spacing w:after="160" w:line="280" w:lineRule="auto"/>
      </w:pPr>
      <w:r>
        <w:rPr>
          <w:rFonts w:ascii="Calibri" w:hAnsi="Calibri" w:cs="Calibri"/>
        </w:rPr>
        <w:t>Some password-reset behavior carries legacy compatibility paths; a single versioned reset protocol should replace mixed semantics.</w:t>
      </w:r>
    </w:p>
    <w:p>
      <w:pPr>
        <w:keepLines/>
        <w:numPr>
          <w:ilvl w:val="0"/>
          <w:numId w:val="10"/>
        </w:numPr>
        <w:spacing w:after="160" w:line="280" w:lineRule="auto"/>
      </w:pPr>
      <w:r>
        <w:rPr>
          <w:rFonts w:ascii="Calibri" w:hAnsi="Calibri" w:cs="Calibri"/>
        </w:rPr>
        <w:t>The admin frontend gate is client-side for UX, so every server/API path must remain authoritative; backend checks appear present, but contract tests should prove the boundary.</w:t>
      </w:r>
    </w:p>
    <w:p>
      <w:pPr>
        <w:keepLines/>
        <w:numPr>
          <w:ilvl w:val="0"/>
          <w:numId w:val="10"/>
        </w:numPr>
        <w:spacing w:after="160" w:line="280" w:lineRule="auto"/>
      </w:pPr>
      <w:r>
        <w:rPr>
          <w:rFonts w:ascii="Calibri" w:hAnsi="Calibri" w:cs="Calibri"/>
        </w:rPr>
        <w:t>No centralized authorization policy engine exists; route-level role lists can drift as the surface grows.</w:t>
      </w:r>
    </w:p>
    <w:p>
      <w:pPr>
        <w:keepLines/>
        <w:spacing w:before="100" w:after="200"/>
        <w:ind w:left="173" w:right="115"/>
        <w:shd w:fill="EAF5EF"/>
        <w:pBdr>
          <w:left w:val="single" w:sz="20" w:space="8" w:color="1F5E46"/>
        </w:pBdr>
      </w:pPr>
      <w:r>
        <w:rPr>
          <w:rFonts w:ascii="Calibri" w:hAnsi="Calibri" w:cs="Calibri"/>
          <w:b/>
          <w:color w:val="1F5E46"/>
        </w:rPr>
        <w:t xml:space="preserve">Investment interpretation  </w:t>
      </w:r>
      <w:r>
        <w:rPr>
          <w:rFonts w:ascii="Calibri" w:hAnsi="Calibri" w:cs="Calibri"/>
          <w:color w:val="101828"/>
        </w:rPr>
        <w:t>Identity and tenant controls are materially stronger than the packaging and operations layer. The next security spend should focus on proving enforcement continuously—central policy tests, secret rotation, dependency gates, audit completeness, and production telemetry—rather than replacing the entire auth model.</w:t>
      </w:r>
    </w:p>
    <w:p>
      <w:pPr>
        <w:pStyle w:val="Heading1"/>
      </w:pPr>
      <w:r>
        <w:t>8. Booking and operational workflows</w:t>
      </w:r>
    </w:p>
    <w:p>
      <w:pPr>
        <w:keepLines/>
        <w:spacing w:before="120" w:after="40"/>
        <w:jc w:val="center"/>
      </w:pPr>
      <w:r>
        <w:drawing>
          <wp:inline xmlns:a="http://schemas.openxmlformats.org/drawingml/2006/main" xmlns:pic="http://schemas.openxmlformats.org/drawingml/2006/picture">
            <wp:extent cx="5760720" cy="3200400"/>
            <wp:docPr id="4" name="Picture 4" descr="Figure 4. Simplified customer lifecycle from marketplace discovery through signed payment confirmation and rental operations." title="Booking Lifecycle"/>
            <wp:cNvGraphicFramePr>
              <a:graphicFrameLocks noChangeAspect="1"/>
            </wp:cNvGraphicFramePr>
            <a:graphic>
              <a:graphicData uri="http://schemas.openxmlformats.org/drawingml/2006/picture">
                <pic:pic>
                  <pic:nvPicPr>
                    <pic:cNvPr id="0" name="booking_lifecycle.png"/>
                    <pic:cNvPicPr/>
                  </pic:nvPicPr>
                  <pic:blipFill>
                    <a:blip r:embed="rId14"/>
                    <a:stretch>
                      <a:fillRect/>
                    </a:stretch>
                  </pic:blipFill>
                  <pic:spPr>
                    <a:xfrm>
                      <a:off x="0" y="0"/>
                      <a:ext cx="5760720" cy="3200400"/>
                    </a:xfrm>
                    <a:prstGeom prst="rect"/>
                  </pic:spPr>
                </pic:pic>
              </a:graphicData>
            </a:graphic>
          </wp:inline>
        </w:drawing>
      </w:r>
    </w:p>
    <w:p>
      <w:pPr>
        <w:pStyle w:val="Caption"/>
        <w:keepNext w:val="0"/>
      </w:pPr>
      <w:r>
        <w:t>Figure 4. Simplified customer lifecycle from marketplace discovery through signed payment confirmation and rental operations.</w:t>
      </w:r>
    </w:p>
    <w:p>
      <w:pPr>
        <w:pStyle w:val="Heading2"/>
      </w:pPr>
      <w:r>
        <w:t>Marketplace flow</w:t>
      </w:r>
    </w:p>
    <w:p>
      <w:pPr>
        <w:keepLines w:val="0"/>
      </w:pPr>
      <w:r>
        <w:rPr>
          <w:rFonts w:ascii="Calibri" w:hAnsi="Calibri" w:cs="Calibri"/>
          <w:b w:val="0"/>
          <w:i w:val="0"/>
        </w:rPr>
        <w:t>Carplace exposes cross-tenant discovery while the API protects tenant-private operations. A guest can search by location/date, inspect company and vehicle pages, obtain availability/pricing data, and submit a booking request through staged trip/contact/review screens. Funnel events are modeled for conversion analysis.</w:t>
      </w:r>
    </w:p>
    <w:p>
      <w:pPr>
        <w:pStyle w:val="Heading2"/>
      </w:pPr>
      <w:r>
        <w:t>Reservation operational depth</w:t>
      </w:r>
    </w:p>
    <w:tbl>
      <w:tblPr>
        <w:tblW w:type="dxa" w:w="9360"/>
        <w:jc w:val="left"/>
        <w:tblLayout w:type="fixed"/>
        <w:tblLook w:firstColumn="1" w:firstRow="1" w:lastColumn="0" w:lastRow="0" w:noHBand="0" w:noVBand="1" w:val="04A0"/>
        <w:tblInd w:w="120" w:type="dxa"/>
        <w:tblBorders>
          <w:top w:val="single" w:sz="4" w:space="0" w:color="D0D5DD"/>
          <w:left w:val="single" w:sz="4" w:space="0" w:color="D0D5DD"/>
          <w:bottom w:val="single" w:sz="4" w:space="0" w:color="D0D5DD"/>
          <w:right w:val="single" w:sz="4" w:space="0" w:color="D0D5DD"/>
          <w:insideH w:val="single" w:sz="4" w:space="0" w:color="D0D5DD"/>
          <w:insideV w:val="single" w:sz="4" w:space="0" w:color="D0D5DD"/>
        </w:tblBorders>
      </w:tblPr>
      <w:tblGrid>
        <w:gridCol w:w="1700"/>
        <w:gridCol w:w="4150"/>
        <w:gridCol w:w="3510"/>
      </w:tblGrid>
      <w:tr>
        <w:trPr>
          <w:tblHeader w:val="true"/>
          <w:cantSplit/>
        </w:trPr>
        <w:tc>
          <w:tcPr>
            <w:tcW w:type="dxa" w:w="1700"/>
            <w:tcMar>
              <w:top w:w="80" w:type="dxa"/>
              <w:start w:w="120" w:type="dxa"/>
              <w:bottom w:w="80" w:type="dxa"/>
              <w:end w:w="120" w:type="dxa"/>
            </w:tcMar>
            <w:shd w:fill="F2F4F7"/>
            <w:vAlign w:val="center"/>
          </w:tcPr>
          <w:p>
            <w:pPr>
              <w:spacing w:before="0" w:after="0" w:line="252" w:lineRule="auto"/>
            </w:pPr>
            <w:r/>
            <w:r>
              <w:rPr>
                <w:rFonts w:ascii="Calibri" w:hAnsi="Calibri" w:cs="Calibri"/>
                <w:b/>
                <w:color w:val="0B2545"/>
                <w:sz w:val="17"/>
              </w:rPr>
              <w:t>Stage</w:t>
            </w:r>
          </w:p>
        </w:tc>
        <w:tc>
          <w:tcPr>
            <w:tcW w:type="dxa" w:w="4150"/>
            <w:tcMar>
              <w:top w:w="80" w:type="dxa"/>
              <w:start w:w="120" w:type="dxa"/>
              <w:bottom w:w="80" w:type="dxa"/>
              <w:end w:w="120" w:type="dxa"/>
            </w:tcMar>
            <w:shd w:fill="F2F4F7"/>
            <w:vAlign w:val="center"/>
          </w:tcPr>
          <w:p>
            <w:pPr>
              <w:spacing w:before="0" w:after="0" w:line="252" w:lineRule="auto"/>
            </w:pPr>
            <w:r/>
            <w:r>
              <w:rPr>
                <w:rFonts w:ascii="Calibri" w:hAnsi="Calibri" w:cs="Calibri"/>
                <w:b/>
                <w:color w:val="0B2545"/>
                <w:sz w:val="17"/>
              </w:rPr>
              <w:t>Evidence in code/data</w:t>
            </w:r>
          </w:p>
        </w:tc>
        <w:tc>
          <w:tcPr>
            <w:tcW w:type="dxa" w:w="3510"/>
            <w:tcMar>
              <w:top w:w="80" w:type="dxa"/>
              <w:start w:w="120" w:type="dxa"/>
              <w:bottom w:w="80" w:type="dxa"/>
              <w:end w:w="120" w:type="dxa"/>
            </w:tcMar>
            <w:shd w:fill="F2F4F7"/>
            <w:vAlign w:val="center"/>
          </w:tcPr>
          <w:p>
            <w:pPr>
              <w:spacing w:before="0" w:after="0" w:line="252" w:lineRule="auto"/>
            </w:pPr>
            <w:r/>
            <w:r>
              <w:rPr>
                <w:rFonts w:ascii="Calibri" w:hAnsi="Calibri" w:cs="Calibri"/>
                <w:b/>
                <w:color w:val="0B2545"/>
                <w:sz w:val="17"/>
              </w:rPr>
              <w:t>Primary control need</w:t>
            </w:r>
          </w:p>
        </w:tc>
      </w:tr>
      <w:tr>
        <w:trPr>
          <w:cantSplit/>
        </w:trPr>
        <w:tc>
          <w:tcPr>
            <w:tcW w:type="dxa" w:w="17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Availability and quote</w:t>
            </w:r>
          </w:p>
        </w:tc>
        <w:tc>
          <w:tcPr>
            <w:tcW w:type="dxa" w:w="415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Vehicle calendar blocks, reservation state, pricing configuration/rules/history, offers</w:t>
            </w:r>
          </w:p>
        </w:tc>
        <w:tc>
          <w:tcPr>
            <w:tcW w:type="dxa" w:w="351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Transactional conflict detection and deterministic price versioning.</w:t>
            </w:r>
          </w:p>
        </w:tc>
      </w:tr>
      <w:tr>
        <w:trPr>
          <w:cantSplit/>
        </w:trPr>
        <w:tc>
          <w:tcPr>
            <w:tcW w:type="dxa" w:w="17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Customer intake</w:t>
            </w:r>
          </w:p>
        </w:tc>
        <w:tc>
          <w:tcPr>
            <w:tcW w:type="dxa" w:w="415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Customer and renter records, license data/images, additional drivers</w:t>
            </w:r>
          </w:p>
        </w:tc>
        <w:tc>
          <w:tcPr>
            <w:tcW w:type="dxa" w:w="351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Consent, validation, encryption, retention, and least-privilege access.</w:t>
            </w:r>
          </w:p>
        </w:tc>
      </w:tr>
      <w:tr>
        <w:trPr>
          <w:cantSplit/>
        </w:trPr>
        <w:tc>
          <w:tcPr>
            <w:tcW w:type="dxa" w:w="17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Confirmation</w:t>
            </w:r>
          </w:p>
        </w:tc>
        <w:tc>
          <w:tcPr>
            <w:tcW w:type="dxa" w:w="415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Reservation lifecycle, public access token, payment records</w:t>
            </w:r>
          </w:p>
        </w:tc>
        <w:tc>
          <w:tcPr>
            <w:tcW w:type="dxa" w:w="351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Idempotent transitions and provider reconciliation.</w:t>
            </w:r>
          </w:p>
        </w:tc>
      </w:tr>
      <w:tr>
        <w:trPr>
          <w:cantSplit/>
        </w:trPr>
        <w:tc>
          <w:tcPr>
            <w:tcW w:type="dxa" w:w="17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Contract and handover</w:t>
            </w:r>
          </w:p>
        </w:tc>
        <w:tc>
          <w:tcPr>
            <w:tcW w:type="dxa" w:w="415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Contract settings, PDFs, photos, insurance, inspections, damage points</w:t>
            </w:r>
          </w:p>
        </w:tc>
        <w:tc>
          <w:tcPr>
            <w:tcW w:type="dxa" w:w="351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Immutable timestamps, document integrity, audit evidence, private storage.</w:t>
            </w:r>
          </w:p>
        </w:tc>
      </w:tr>
      <w:tr>
        <w:trPr>
          <w:cantSplit/>
        </w:trPr>
        <w:tc>
          <w:tcPr>
            <w:tcW w:type="dxa" w:w="17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Return and aftercare</w:t>
            </w:r>
          </w:p>
        </w:tc>
        <w:tc>
          <w:tcPr>
            <w:tcW w:type="dxa" w:w="415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Damage reports, reviews, complaints, notifications</w:t>
            </w:r>
          </w:p>
        </w:tc>
        <w:tc>
          <w:tcPr>
            <w:tcW w:type="dxa" w:w="351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Dispute evidence, retention, customer communication, support SLAs.</w:t>
            </w:r>
          </w:p>
        </w:tc>
      </w:tr>
    </w:tbl>
    <w:p>
      <w:pPr>
        <w:spacing w:after="20"/>
      </w:pPr>
    </w:p>
    <w:p>
      <w:pPr>
        <w:pStyle w:val="Heading2"/>
      </w:pPr>
      <w:r>
        <w:t>Concurrency and integrity</w:t>
      </w:r>
    </w:p>
    <w:p>
      <w:pPr>
        <w:keepLines w:val="0"/>
      </w:pPr>
      <w:r>
        <w:rPr>
          <w:rFonts w:ascii="Calibri" w:hAnsi="Calibri" w:cs="Calibri"/>
          <w:b w:val="0"/>
          <w:i w:val="0"/>
        </w:rPr>
        <w:t>A rental platform fails commercially when two customers can reserve the same asset, a retry creates duplicate requests, a webhook is processed twice, or a price changes after commitment. The code contains useful protections—transactions in service paths, provider webhook idempotency records, payload hashes, and state validation—but the public booking idempotency cache is local memory and must move to a shared store or database uniqueness contract before multi-replica operation.</w:t>
      </w:r>
    </w:p>
    <w:p>
      <w:pPr>
        <w:keepLines/>
        <w:numPr>
          <w:ilvl w:val="0"/>
          <w:numId w:val="10"/>
        </w:numPr>
        <w:spacing w:after="160" w:line="280" w:lineRule="auto"/>
      </w:pPr>
      <w:r>
        <w:rPr>
          <w:rFonts w:ascii="Calibri" w:hAnsi="Calibri" w:cs="Calibri"/>
        </w:rPr>
        <w:t>Use a database uniqueness/exclusion strategy or serializable reservation command around vehicle/time overlap, not UI availability alone.</w:t>
      </w:r>
    </w:p>
    <w:p>
      <w:pPr>
        <w:keepLines/>
        <w:numPr>
          <w:ilvl w:val="0"/>
          <w:numId w:val="10"/>
        </w:numPr>
        <w:spacing w:after="160" w:line="280" w:lineRule="auto"/>
      </w:pPr>
      <w:r>
        <w:rPr>
          <w:rFonts w:ascii="Calibri" w:hAnsi="Calibri" w:cs="Calibri"/>
        </w:rPr>
        <w:t>Persist quote inputs, rule version, taxes/fees, discount source, currency, and totals as an immutable snapshot on commitment.</w:t>
      </w:r>
    </w:p>
    <w:p>
      <w:pPr>
        <w:keepLines/>
        <w:numPr>
          <w:ilvl w:val="0"/>
          <w:numId w:val="10"/>
        </w:numPr>
        <w:spacing w:after="160" w:line="280" w:lineRule="auto"/>
      </w:pPr>
      <w:r>
        <w:rPr>
          <w:rFonts w:ascii="Calibri" w:hAnsi="Calibri" w:cs="Calibri"/>
        </w:rPr>
        <w:t>Require a client idempotency key for every create/pay/refund command; enforce it in PostgreSQL or Redis with tenant and endpoint scope.</w:t>
      </w:r>
    </w:p>
    <w:p>
      <w:pPr>
        <w:keepLines/>
        <w:numPr>
          <w:ilvl w:val="0"/>
          <w:numId w:val="10"/>
        </w:numPr>
        <w:spacing w:after="160" w:line="280" w:lineRule="auto"/>
      </w:pPr>
      <w:r>
        <w:rPr>
          <w:rFonts w:ascii="Calibri" w:hAnsi="Calibri" w:cs="Calibri"/>
        </w:rPr>
        <w:t>Model transitions as explicit commands with allowed prior states and append-only audit facts for financial and handover events.</w:t>
      </w:r>
    </w:p>
    <w:p>
      <w:pPr>
        <w:pStyle w:val="Heading2"/>
      </w:pPr>
      <w:r>
        <w:t>License-validation claim</w:t>
      </w:r>
    </w:p>
    <w:p>
      <w:pPr>
        <w:keepLines/>
        <w:spacing w:before="100" w:after="200"/>
        <w:ind w:left="173" w:right="115"/>
        <w:shd w:fill="FDECEC"/>
        <w:pBdr>
          <w:left w:val="single" w:sz="20" w:space="8" w:color="9B1C1C"/>
        </w:pBdr>
      </w:pPr>
      <w:r>
        <w:rPr>
          <w:rFonts w:ascii="Calibri" w:hAnsi="Calibri" w:cs="Calibri"/>
          <w:b/>
          <w:color w:val="9B1C1C"/>
        </w:rPr>
        <w:t xml:space="preserve">Do not overstate  </w:t>
      </w:r>
      <w:r>
        <w:rPr>
          <w:rFonts w:ascii="Calibri" w:hAnsi="Calibri" w:cs="Calibri"/>
          <w:color w:val="101828"/>
        </w:rPr>
        <w:t>The reviewed license validation is date parsing and expiry logic. It is not evidence of OCR, document authenticity checks, liveness, biometric comparison, sanctions screening, or regulated identity verification.</w:t>
      </w:r>
    </w:p>
    <w:p>
      <w:pPr>
        <w:pStyle w:val="Heading1"/>
      </w:pPr>
      <w:r>
        <w:t>9. Commercial, subscription, and billing design</w:t>
      </w:r>
    </w:p>
    <w:p>
      <w:pPr>
        <w:pStyle w:val="Heading2"/>
      </w:pPr>
      <w:r>
        <w:t>Plan catalog</w:t>
      </w:r>
    </w:p>
    <w:p>
      <w:pPr>
        <w:keepLines w:val="0"/>
      </w:pPr>
      <w:r>
        <w:rPr>
          <w:rFonts w:ascii="Calibri" w:hAnsi="Calibri" w:cs="Calibri"/>
          <w:b w:val="0"/>
          <w:i w:val="0"/>
        </w:rPr>
        <w:t>Shared code defines four plans and MAD prices. Vehicle creation enforces plan-based fleet limits. Subscription state drives access modes and contains automated time windows for trial, payment-pending, past-due, suspension, and cancellation.</w:t>
      </w:r>
    </w:p>
    <w:tbl>
      <w:tblPr>
        <w:tblW w:type="dxa" w:w="9360"/>
        <w:jc w:val="left"/>
        <w:tblLayout w:type="fixed"/>
        <w:tblLook w:firstColumn="1" w:firstRow="1" w:lastColumn="0" w:lastRow="0" w:noHBand="0" w:noVBand="1" w:val="04A0"/>
        <w:tblInd w:w="120" w:type="dxa"/>
        <w:tblBorders>
          <w:top w:val="single" w:sz="4" w:space="0" w:color="D0D5DD"/>
          <w:left w:val="single" w:sz="4" w:space="0" w:color="D0D5DD"/>
          <w:bottom w:val="single" w:sz="4" w:space="0" w:color="D0D5DD"/>
          <w:right w:val="single" w:sz="4" w:space="0" w:color="D0D5DD"/>
          <w:insideH w:val="single" w:sz="4" w:space="0" w:color="D0D5DD"/>
          <w:insideV w:val="single" w:sz="4" w:space="0" w:color="D0D5DD"/>
        </w:tblBorders>
      </w:tblPr>
      <w:tblGrid>
        <w:gridCol w:w="2100"/>
        <w:gridCol w:w="1600"/>
        <w:gridCol w:w="1850"/>
        <w:gridCol w:w="3810"/>
      </w:tblGrid>
      <w:tr>
        <w:trPr>
          <w:tblHeader w:val="true"/>
          <w:cantSplit/>
        </w:trPr>
        <w:tc>
          <w:tcPr>
            <w:tcW w:type="dxa" w:w="2100"/>
            <w:tcMar>
              <w:top w:w="80" w:type="dxa"/>
              <w:start w:w="120" w:type="dxa"/>
              <w:bottom w:w="80" w:type="dxa"/>
              <w:end w:w="120" w:type="dxa"/>
            </w:tcMar>
            <w:shd w:fill="F2F4F7"/>
            <w:vAlign w:val="center"/>
          </w:tcPr>
          <w:p>
            <w:pPr>
              <w:spacing w:before="0" w:after="0" w:line="252" w:lineRule="auto"/>
            </w:pPr>
            <w:r/>
            <w:r>
              <w:rPr>
                <w:rFonts w:ascii="Calibri" w:hAnsi="Calibri" w:cs="Calibri"/>
                <w:b/>
                <w:color w:val="0B2545"/>
                <w:sz w:val="18"/>
              </w:rPr>
              <w:t>Plan</w:t>
            </w:r>
          </w:p>
        </w:tc>
        <w:tc>
          <w:tcPr>
            <w:tcW w:type="dxa" w:w="1600"/>
            <w:tcMar>
              <w:top w:w="80" w:type="dxa"/>
              <w:start w:w="120" w:type="dxa"/>
              <w:bottom w:w="80" w:type="dxa"/>
              <w:end w:w="120" w:type="dxa"/>
            </w:tcMar>
            <w:shd w:fill="F2F4F7"/>
            <w:vAlign w:val="center"/>
          </w:tcPr>
          <w:p>
            <w:pPr>
              <w:spacing w:before="0" w:after="0" w:line="252" w:lineRule="auto"/>
            </w:pPr>
            <w:r/>
            <w:r>
              <w:rPr>
                <w:rFonts w:ascii="Calibri" w:hAnsi="Calibri" w:cs="Calibri"/>
                <w:b/>
                <w:color w:val="0B2545"/>
                <w:sz w:val="18"/>
              </w:rPr>
              <w:t>Monthly</w:t>
            </w:r>
          </w:p>
        </w:tc>
        <w:tc>
          <w:tcPr>
            <w:tcW w:type="dxa" w:w="1850"/>
            <w:tcMar>
              <w:top w:w="80" w:type="dxa"/>
              <w:start w:w="120" w:type="dxa"/>
              <w:bottom w:w="80" w:type="dxa"/>
              <w:end w:w="120" w:type="dxa"/>
            </w:tcMar>
            <w:shd w:fill="F2F4F7"/>
            <w:vAlign w:val="center"/>
          </w:tcPr>
          <w:p>
            <w:pPr>
              <w:spacing w:before="0" w:after="0" w:line="252" w:lineRule="auto"/>
            </w:pPr>
            <w:r/>
            <w:r>
              <w:rPr>
                <w:rFonts w:ascii="Calibri" w:hAnsi="Calibri" w:cs="Calibri"/>
                <w:b/>
                <w:color w:val="0B2545"/>
                <w:sz w:val="18"/>
              </w:rPr>
              <w:t>Annual</w:t>
            </w:r>
          </w:p>
        </w:tc>
        <w:tc>
          <w:tcPr>
            <w:tcW w:type="dxa" w:w="3810"/>
            <w:tcMar>
              <w:top w:w="80" w:type="dxa"/>
              <w:start w:w="120" w:type="dxa"/>
              <w:bottom w:w="80" w:type="dxa"/>
              <w:end w:w="120" w:type="dxa"/>
            </w:tcMar>
            <w:shd w:fill="F2F4F7"/>
            <w:vAlign w:val="center"/>
          </w:tcPr>
          <w:p>
            <w:pPr>
              <w:spacing w:before="0" w:after="0" w:line="252" w:lineRule="auto"/>
            </w:pPr>
            <w:r/>
            <w:r>
              <w:rPr>
                <w:rFonts w:ascii="Calibri" w:hAnsi="Calibri" w:cs="Calibri"/>
                <w:b/>
                <w:color w:val="0B2545"/>
                <w:sz w:val="18"/>
              </w:rPr>
              <w:t>Fleet limit in service</w:t>
            </w:r>
          </w:p>
        </w:tc>
      </w:tr>
      <w:tr>
        <w:trPr>
          <w:cantSplit/>
        </w:trPr>
        <w:tc>
          <w:tcPr>
            <w:tcW w:type="dxa" w:w="21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STARTER</w:t>
            </w:r>
          </w:p>
        </w:tc>
        <w:tc>
          <w:tcPr>
            <w:tcW w:type="dxa" w:w="16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149 MAD</w:t>
            </w:r>
          </w:p>
        </w:tc>
        <w:tc>
          <w:tcPr>
            <w:tcW w:type="dxa" w:w="185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1,430.40 MAD</w:t>
            </w:r>
          </w:p>
        </w:tc>
        <w:tc>
          <w:tcPr>
            <w:tcW w:type="dxa" w:w="381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25 vehicles</w:t>
            </w:r>
          </w:p>
        </w:tc>
      </w:tr>
      <w:tr>
        <w:trPr>
          <w:cantSplit/>
        </w:trPr>
        <w:tc>
          <w:tcPr>
            <w:tcW w:type="dxa" w:w="21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GROWTH</w:t>
            </w:r>
          </w:p>
        </w:tc>
        <w:tc>
          <w:tcPr>
            <w:tcW w:type="dxa" w:w="16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299 MAD</w:t>
            </w:r>
          </w:p>
        </w:tc>
        <w:tc>
          <w:tcPr>
            <w:tcW w:type="dxa" w:w="185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2,870.40 MAD</w:t>
            </w:r>
          </w:p>
        </w:tc>
        <w:tc>
          <w:tcPr>
            <w:tcW w:type="dxa" w:w="381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75 vehicles</w:t>
            </w:r>
          </w:p>
        </w:tc>
      </w:tr>
      <w:tr>
        <w:trPr>
          <w:cantSplit/>
        </w:trPr>
        <w:tc>
          <w:tcPr>
            <w:tcW w:type="dxa" w:w="21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PRO</w:t>
            </w:r>
          </w:p>
        </w:tc>
        <w:tc>
          <w:tcPr>
            <w:tcW w:type="dxa" w:w="16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399 MAD</w:t>
            </w:r>
          </w:p>
        </w:tc>
        <w:tc>
          <w:tcPr>
            <w:tcW w:type="dxa" w:w="185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3,830.40 MAD</w:t>
            </w:r>
          </w:p>
        </w:tc>
        <w:tc>
          <w:tcPr>
            <w:tcW w:type="dxa" w:w="381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150 vehicles</w:t>
            </w:r>
          </w:p>
        </w:tc>
      </w:tr>
      <w:tr>
        <w:trPr>
          <w:cantSplit/>
        </w:trPr>
        <w:tc>
          <w:tcPr>
            <w:tcW w:type="dxa" w:w="21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ENTERPRISE</w:t>
            </w:r>
          </w:p>
        </w:tc>
        <w:tc>
          <w:tcPr>
            <w:tcW w:type="dxa" w:w="16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599 MAD</w:t>
            </w:r>
          </w:p>
        </w:tc>
        <w:tc>
          <w:tcPr>
            <w:tcW w:type="dxa" w:w="185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5,750.40 MAD</w:t>
            </w:r>
          </w:p>
        </w:tc>
        <w:tc>
          <w:tcPr>
            <w:tcW w:type="dxa" w:w="381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Unlimited</w:t>
            </w:r>
          </w:p>
        </w:tc>
      </w:tr>
    </w:tbl>
    <w:p>
      <w:pPr>
        <w:spacing w:after="20"/>
      </w:pPr>
    </w:p>
    <w:p>
      <w:pPr>
        <w:pStyle w:val="Heading2"/>
      </w:pPr>
      <w:r>
        <w:t>Catalog inconsistency</w:t>
      </w:r>
    </w:p>
    <w:p>
      <w:pPr>
        <w:keepLines w:val="0"/>
      </w:pPr>
      <w:r>
        <w:rPr>
          <w:rFonts w:ascii="Calibri" w:hAnsi="Calibri" w:cs="Calibri"/>
          <w:b w:val="0"/>
          <w:i w:val="0"/>
        </w:rPr>
        <w:t>The homepage pricing configuration advertises Launch at 149 MAD, Growth at 299 MAD, and Enterprise as custom. It omits PRO and does not match the shared four-plan names/prices. The configuration also marks public prices as approved. This is a direct sales-to-entitlement drift risk: buyers may be quoted one catalog while code enforces another.</w:t>
      </w:r>
    </w:p>
    <w:p>
      <w:pPr>
        <w:keepLines/>
        <w:numPr>
          <w:ilvl w:val="0"/>
          <w:numId w:val="10"/>
        </w:numPr>
        <w:spacing w:after="160" w:line="280" w:lineRule="auto"/>
      </w:pPr>
      <w:r>
        <w:rPr>
          <w:rFonts w:ascii="Calibri" w:hAnsi="Calibri" w:cs="Calibri"/>
        </w:rPr>
        <w:t>Create one plan catalog and entitlement source of truth consumed by marketing, checkout, API enforcement, invoice descriptions, and admin tooling.</w:t>
      </w:r>
    </w:p>
    <w:p>
      <w:pPr>
        <w:keepLines/>
        <w:numPr>
          <w:ilvl w:val="0"/>
          <w:numId w:val="10"/>
        </w:numPr>
        <w:spacing w:after="160" w:line="280" w:lineRule="auto"/>
      </w:pPr>
      <w:r>
        <w:rPr>
          <w:rFonts w:ascii="Calibri" w:hAnsi="Calibri" w:cs="Calibri"/>
        </w:rPr>
        <w:t>Do not parse human-readable PlanFeature labels to determine limits. Store typed entitlement keys and numeric/string values.</w:t>
      </w:r>
    </w:p>
    <w:p>
      <w:pPr>
        <w:keepLines/>
        <w:numPr>
          <w:ilvl w:val="0"/>
          <w:numId w:val="10"/>
        </w:numPr>
        <w:spacing w:after="160" w:line="280" w:lineRule="auto"/>
      </w:pPr>
      <w:r>
        <w:rPr>
          <w:rFonts w:ascii="Calibri" w:hAnsi="Calibri" w:cs="Calibri"/>
        </w:rPr>
        <w:t>Add contract tests proving every advertised entitlement is enforced and every enforced limit is described in the commercial catalog.</w:t>
      </w:r>
    </w:p>
    <w:p>
      <w:pPr>
        <w:pStyle w:val="Heading2"/>
      </w:pPr>
      <w:r>
        <w:t>Subscription state machine</w:t>
      </w:r>
    </w:p>
    <w:p>
      <w:pPr>
        <w:keepLines w:val="0"/>
      </w:pPr>
      <w:r>
        <w:rPr>
          <w:rFonts w:ascii="Calibri" w:hAnsi="Calibri" w:cs="Calibri"/>
          <w:b w:val="0"/>
          <w:i w:val="0"/>
        </w:rPr>
        <w:t>The reviewed rules include a 30-day trial, a seven-day payment-pending window, a seven-day past-due period, suspension, and later cancellation around day 16. Access maps distinguish read/write/full modes. These rules should become an explicit state machine with reason codes, effective timestamps, replayable events, and a single scheduler/queue, because access decisions affect revenue and customer operations.</w:t>
      </w:r>
    </w:p>
    <w:p>
      <w:pPr>
        <w:pStyle w:val="Heading2"/>
      </w:pPr>
      <w:r>
        <w:t>Billing model</w:t>
      </w:r>
    </w:p>
    <w:p>
      <w:pPr>
        <w:keepLines w:val="0"/>
      </w:pPr>
      <w:r>
        <w:rPr>
          <w:rFonts w:ascii="Calibri" w:hAnsi="Calibri" w:cs="Calibri"/>
          <w:b w:val="0"/>
          <w:i w:val="0"/>
        </w:rPr>
        <w:t>The schema contains a broad modern billing family—accounts, payment methods, invoices, line items, intents, attempts, credit balance/ledger, credit notes, refunds, tax records, and billing events—alongside older subscription invoice and payment-attempt models. This suggests an active migration. Investors should request a reconciliation statement showing the production source of truth, migration status, and how financial totals are tied to provider ledgers.</w:t>
      </w:r>
    </w:p>
    <w:p>
      <w:pPr>
        <w:keepLines/>
        <w:spacing w:before="100" w:after="200"/>
        <w:ind w:left="173" w:right="115"/>
        <w:shd w:fill="E8EEF5"/>
        <w:pBdr>
          <w:left w:val="single" w:sz="20" w:space="8" w:color="2E74B5"/>
        </w:pBdr>
      </w:pPr>
      <w:r>
        <w:rPr>
          <w:rFonts w:ascii="Calibri" w:hAnsi="Calibri" w:cs="Calibri"/>
          <w:b/>
          <w:color w:val="2E74B5"/>
        </w:rPr>
        <w:t xml:space="preserve">Control objective  </w:t>
      </w:r>
      <w:r>
        <w:rPr>
          <w:rFonts w:ascii="Calibri" w:hAnsi="Calibri" w:cs="Calibri"/>
          <w:color w:val="101828"/>
        </w:rPr>
        <w:t>Every money-moving operation should have one immutable internal command, one provider idempotency key, one ledger consequence, one webhook reconciliation record, and one auditable outcome. UI state must never be the accounting record.</w:t>
      </w:r>
    </w:p>
    <w:p>
      <w:pPr>
        <w:pStyle w:val="Heading1"/>
      </w:pPr>
      <w:r>
        <w:t>10. Payments and financial integrations</w:t>
      </w:r>
    </w:p>
    <w:p>
      <w:pPr>
        <w:pStyle w:val="Heading2"/>
      </w:pPr>
      <w:r>
        <w:t>Provider coverage</w:t>
      </w:r>
    </w:p>
    <w:tbl>
      <w:tblPr>
        <w:tblW w:type="dxa" w:w="9360"/>
        <w:jc w:val="left"/>
        <w:tblLayout w:type="fixed"/>
        <w:tblLook w:firstColumn="1" w:firstRow="1" w:lastColumn="0" w:lastRow="0" w:noHBand="0" w:noVBand="1" w:val="04A0"/>
        <w:tblInd w:w="120" w:type="dxa"/>
        <w:tblBorders>
          <w:top w:val="single" w:sz="4" w:space="0" w:color="D0D5DD"/>
          <w:left w:val="single" w:sz="4" w:space="0" w:color="D0D5DD"/>
          <w:bottom w:val="single" w:sz="4" w:space="0" w:color="D0D5DD"/>
          <w:right w:val="single" w:sz="4" w:space="0" w:color="D0D5DD"/>
          <w:insideH w:val="single" w:sz="4" w:space="0" w:color="D0D5DD"/>
          <w:insideV w:val="single" w:sz="4" w:space="0" w:color="D0D5DD"/>
        </w:tblBorders>
      </w:tblPr>
      <w:tblGrid>
        <w:gridCol w:w="1500"/>
        <w:gridCol w:w="3830"/>
        <w:gridCol w:w="4030"/>
      </w:tblGrid>
      <w:tr>
        <w:trPr>
          <w:tblHeader w:val="true"/>
          <w:cantSplit/>
        </w:trPr>
        <w:tc>
          <w:tcPr>
            <w:tcW w:type="dxa" w:w="1500"/>
            <w:tcMar>
              <w:top w:w="80" w:type="dxa"/>
              <w:start w:w="120" w:type="dxa"/>
              <w:bottom w:w="80" w:type="dxa"/>
              <w:end w:w="120" w:type="dxa"/>
            </w:tcMar>
            <w:shd w:fill="F2F4F7"/>
            <w:vAlign w:val="center"/>
          </w:tcPr>
          <w:p>
            <w:pPr>
              <w:spacing w:before="0" w:after="0" w:line="252" w:lineRule="auto"/>
            </w:pPr>
            <w:r/>
            <w:r>
              <w:rPr>
                <w:rFonts w:ascii="Calibri" w:hAnsi="Calibri" w:cs="Calibri"/>
                <w:b/>
                <w:color w:val="0B2545"/>
                <w:sz w:val="18"/>
              </w:rPr>
              <w:t>Provider</w:t>
            </w:r>
          </w:p>
        </w:tc>
        <w:tc>
          <w:tcPr>
            <w:tcW w:type="dxa" w:w="3830"/>
            <w:tcMar>
              <w:top w:w="80" w:type="dxa"/>
              <w:start w:w="120" w:type="dxa"/>
              <w:bottom w:w="80" w:type="dxa"/>
              <w:end w:w="120" w:type="dxa"/>
            </w:tcMar>
            <w:shd w:fill="F2F4F7"/>
            <w:vAlign w:val="center"/>
          </w:tcPr>
          <w:p>
            <w:pPr>
              <w:spacing w:before="0" w:after="0" w:line="252" w:lineRule="auto"/>
            </w:pPr>
            <w:r/>
            <w:r>
              <w:rPr>
                <w:rFonts w:ascii="Calibri" w:hAnsi="Calibri" w:cs="Calibri"/>
                <w:b/>
                <w:color w:val="0B2545"/>
                <w:sz w:val="18"/>
              </w:rPr>
              <w:t>Implemented capabilities</w:t>
            </w:r>
          </w:p>
        </w:tc>
        <w:tc>
          <w:tcPr>
            <w:tcW w:type="dxa" w:w="4030"/>
            <w:tcMar>
              <w:top w:w="80" w:type="dxa"/>
              <w:start w:w="120" w:type="dxa"/>
              <w:bottom w:w="80" w:type="dxa"/>
              <w:end w:w="120" w:type="dxa"/>
            </w:tcMar>
            <w:shd w:fill="F2F4F7"/>
            <w:vAlign w:val="center"/>
          </w:tcPr>
          <w:p>
            <w:pPr>
              <w:spacing w:before="0" w:after="0" w:line="252" w:lineRule="auto"/>
            </w:pPr>
            <w:r/>
            <w:r>
              <w:rPr>
                <w:rFonts w:ascii="Calibri" w:hAnsi="Calibri" w:cs="Calibri"/>
                <w:b/>
                <w:color w:val="0B2545"/>
                <w:sz w:val="18"/>
              </w:rPr>
              <w:t>Diligence note</w:t>
            </w:r>
          </w:p>
        </w:tc>
      </w:tr>
      <w:tr>
        <w:trPr>
          <w:cantSplit/>
        </w:trPr>
        <w:tc>
          <w:tcPr>
            <w:tcW w:type="dxa" w:w="15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Stripe</w:t>
            </w:r>
          </w:p>
        </w:tc>
        <w:tc>
          <w:tcPr>
            <w:tcW w:type="dxa" w:w="383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Checkout, refunds, signed webhooks, subscription checkout path</w:t>
            </w:r>
          </w:p>
        </w:tc>
        <w:tc>
          <w:tcPr>
            <w:tcW w:type="dxa" w:w="403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Current subscription checkout schema/service accepts Stripe only.</w:t>
            </w:r>
          </w:p>
        </w:tc>
      </w:tr>
      <w:tr>
        <w:trPr>
          <w:cantSplit/>
        </w:trPr>
        <w:tc>
          <w:tcPr>
            <w:tcW w:type="dxa" w:w="15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PayPal</w:t>
            </w:r>
          </w:p>
        </w:tc>
        <w:tc>
          <w:tcPr>
            <w:tcW w:type="dxa" w:w="383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Order, capture, refund, webhook validation</w:t>
            </w:r>
          </w:p>
        </w:tc>
        <w:tc>
          <w:tcPr>
            <w:tcW w:type="dxa" w:w="403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Validate live credentials, event coverage, reconciliation, and local currency support.</w:t>
            </w:r>
          </w:p>
        </w:tc>
      </w:tr>
      <w:tr>
        <w:trPr>
          <w:cantSplit/>
        </w:trPr>
        <w:tc>
          <w:tcPr>
            <w:tcW w:type="dxa" w:w="15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AmanPay</w:t>
            </w:r>
          </w:p>
        </w:tc>
        <w:tc>
          <w:tcPr>
            <w:tcW w:type="dxa" w:w="383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HMAC checkout and refund paths</w:t>
            </w:r>
          </w:p>
        </w:tc>
        <w:tc>
          <w:tcPr>
            <w:tcW w:type="dxa" w:w="403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Appears as a regional integration; confirm current provider contract and production certification.</w:t>
            </w:r>
          </w:p>
        </w:tc>
      </w:tr>
    </w:tbl>
    <w:p>
      <w:pPr>
        <w:spacing w:after="20"/>
      </w:pPr>
    </w:p>
    <w:p>
      <w:pPr>
        <w:pStyle w:val="Heading2"/>
      </w:pPr>
      <w:r>
        <w:t>Webhook design</w:t>
      </w:r>
    </w:p>
    <w:p>
      <w:pPr>
        <w:keepLines w:val="0"/>
      </w:pPr>
      <w:r>
        <w:rPr>
          <w:rFonts w:ascii="Calibri" w:hAnsi="Calibri" w:cs="Calibri"/>
          <w:b w:val="0"/>
          <w:i w:val="0"/>
        </w:rPr>
        <w:t>Webhook handlers receive raw bodies before JSON parsing, verify provider signatures, and record WebhookEvent data with payload hashes and processing states. Duplicate events can be identified, and stale PROCESSING records may be retried after ten minutes. This is a sound foundation for at-least-once provider delivery.</w:t>
      </w:r>
    </w:p>
    <w:p>
      <w:pPr>
        <w:keepLines/>
        <w:numPr>
          <w:ilvl w:val="0"/>
          <w:numId w:val="10"/>
        </w:numPr>
        <w:spacing w:after="160" w:line="280" w:lineRule="auto"/>
      </w:pPr>
      <w:r>
        <w:rPr>
          <w:rFonts w:ascii="Calibri" w:hAnsi="Calibri" w:cs="Calibri"/>
        </w:rPr>
        <w:t>Strength: signature verification and raw-body ordering reduce spoofing and parser mismatch risk.</w:t>
      </w:r>
    </w:p>
    <w:p>
      <w:pPr>
        <w:keepLines/>
        <w:numPr>
          <w:ilvl w:val="0"/>
          <w:numId w:val="10"/>
        </w:numPr>
        <w:spacing w:after="160" w:line="280" w:lineRule="auto"/>
      </w:pPr>
      <w:r>
        <w:rPr>
          <w:rFonts w:ascii="Calibri" w:hAnsi="Calibri" w:cs="Calibri"/>
        </w:rPr>
        <w:t>Strength: database-backed event records and payload hashes support idempotency and forensic review.</w:t>
      </w:r>
    </w:p>
    <w:p>
      <w:pPr>
        <w:keepLines/>
        <w:numPr>
          <w:ilvl w:val="0"/>
          <w:numId w:val="10"/>
        </w:numPr>
        <w:spacing w:after="160" w:line="280" w:lineRule="auto"/>
      </w:pPr>
      <w:r>
        <w:rPr>
          <w:rFonts w:ascii="Calibri" w:hAnsi="Calibri" w:cs="Calibri"/>
        </w:rPr>
        <w:t>Risk: ten-minute stale retry must be paired with idempotent downstream financial commands; otherwise a crashed handler can duplicate side effects.</w:t>
      </w:r>
    </w:p>
    <w:p>
      <w:pPr>
        <w:keepLines/>
        <w:numPr>
          <w:ilvl w:val="0"/>
          <w:numId w:val="10"/>
        </w:numPr>
        <w:spacing w:after="160" w:line="280" w:lineRule="auto"/>
      </w:pPr>
      <w:r>
        <w:rPr>
          <w:rFonts w:ascii="Calibri" w:hAnsi="Calibri" w:cs="Calibri"/>
        </w:rPr>
        <w:t>Risk: operational metrics and dead-letter handling are not evidenced; a permanently failing webhook needs alerting, replay, and operator tooling.</w:t>
      </w:r>
    </w:p>
    <w:p>
      <w:pPr>
        <w:pStyle w:val="Heading2"/>
      </w:pPr>
      <w:r>
        <w:t>Financial assurance checklist</w:t>
      </w:r>
    </w:p>
    <w:p>
      <w:pPr>
        <w:keepLines/>
        <w:numPr>
          <w:ilvl w:val="0"/>
          <w:numId w:val="10"/>
        </w:numPr>
        <w:spacing w:after="160" w:line="280" w:lineRule="auto"/>
      </w:pPr>
      <w:r>
        <w:rPr>
          <w:rFonts w:ascii="Calibri" w:hAnsi="Calibri" w:cs="Calibri"/>
        </w:rPr>
        <w:t>Daily provider-to-internal reconciliation by currency, status, fee, refund, and settlement batch.</w:t>
      </w:r>
    </w:p>
    <w:p>
      <w:pPr>
        <w:keepLines/>
        <w:numPr>
          <w:ilvl w:val="0"/>
          <w:numId w:val="10"/>
        </w:numPr>
        <w:spacing w:after="160" w:line="280" w:lineRule="auto"/>
      </w:pPr>
      <w:r>
        <w:rPr>
          <w:rFonts w:ascii="Calibri" w:hAnsi="Calibri" w:cs="Calibri"/>
        </w:rPr>
        <w:t>Immutable audit trail for checkout, capture, failure, refund, credit note, and manual adjustment.</w:t>
      </w:r>
    </w:p>
    <w:p>
      <w:pPr>
        <w:keepLines/>
        <w:numPr>
          <w:ilvl w:val="0"/>
          <w:numId w:val="10"/>
        </w:numPr>
        <w:spacing w:after="160" w:line="280" w:lineRule="auto"/>
      </w:pPr>
      <w:r>
        <w:rPr>
          <w:rFonts w:ascii="Calibri" w:hAnsi="Calibri" w:cs="Calibri"/>
        </w:rPr>
        <w:t>No storage of full card data; provider-hosted/tokenized methods only, with PCI scope documented.</w:t>
      </w:r>
    </w:p>
    <w:p>
      <w:pPr>
        <w:keepLines/>
        <w:numPr>
          <w:ilvl w:val="0"/>
          <w:numId w:val="10"/>
        </w:numPr>
        <w:spacing w:after="160" w:line="280" w:lineRule="auto"/>
      </w:pPr>
      <w:r>
        <w:rPr>
          <w:rFonts w:ascii="Calibri" w:hAnsi="Calibri" w:cs="Calibri"/>
        </w:rPr>
        <w:t>Formal rounding, tax, exchange, and negative-balance rules covered by property and contract tests.</w:t>
      </w:r>
    </w:p>
    <w:p>
      <w:pPr>
        <w:keepLines/>
        <w:numPr>
          <w:ilvl w:val="0"/>
          <w:numId w:val="10"/>
        </w:numPr>
        <w:spacing w:after="160" w:line="280" w:lineRule="auto"/>
      </w:pPr>
      <w:r>
        <w:rPr>
          <w:rFonts w:ascii="Calibri" w:hAnsi="Calibri" w:cs="Calibri"/>
        </w:rPr>
        <w:t>Role separation and fresh 2FA for refunds, credits, pricing changes, and payout-sensitive administration.</w:t>
      </w:r>
    </w:p>
    <w:p>
      <w:pPr>
        <w:keepLines/>
        <w:numPr>
          <w:ilvl w:val="0"/>
          <w:numId w:val="10"/>
        </w:numPr>
        <w:spacing w:after="160" w:line="280" w:lineRule="auto"/>
      </w:pPr>
      <w:r>
        <w:rPr>
          <w:rFonts w:ascii="Calibri" w:hAnsi="Calibri" w:cs="Calibri"/>
        </w:rPr>
        <w:t>Runbooks for delayed webhooks, provider outage, partial capture/refund, duplicate event, and reconciliation break.</w:t>
      </w:r>
    </w:p>
    <w:p>
      <w:pPr>
        <w:pStyle w:val="Heading1"/>
      </w:pPr>
      <w:r>
        <w:t>11. Notifications, realtime, and scheduled work</w:t>
      </w:r>
    </w:p>
    <w:p>
      <w:pPr>
        <w:pStyle w:val="Heading2"/>
      </w:pPr>
      <w:r>
        <w:t>Durable notification design</w:t>
      </w:r>
    </w:p>
    <w:p>
      <w:pPr>
        <w:keepLines w:val="0"/>
      </w:pPr>
      <w:r>
        <w:rPr>
          <w:rFonts w:ascii="Calibri" w:hAnsi="Calibri" w:cs="Calibri"/>
          <w:b w:val="0"/>
          <w:i w:val="0"/>
        </w:rPr>
        <w:t>The newer notification design is structurally strong: NotificationEvent records intent; NotificationRecipient targets users; NotificationDelivery tracks channel delivery; NotificationOutbox represents dispatch work; templates and preferences control content and opt-in behavior. The creation service writes event, delivery, and outbox records in a transaction.</w:t>
      </w:r>
    </w:p>
    <w:p>
      <w:pPr>
        <w:keepLines/>
        <w:spacing w:before="100" w:after="200"/>
        <w:ind w:left="173" w:right="115"/>
        <w:shd w:fill="FDECEC"/>
        <w:pBdr>
          <w:left w:val="single" w:sz="20" w:space="8" w:color="9B1C1C"/>
        </w:pBdr>
      </w:pPr>
      <w:r>
        <w:rPr>
          <w:rFonts w:ascii="Calibri" w:hAnsi="Calibri" w:cs="Calibri"/>
          <w:b/>
          <w:color w:val="9B1C1C"/>
        </w:rPr>
        <w:t xml:space="preserve">Critical completion gap  </w:t>
      </w:r>
      <w:r>
        <w:rPr>
          <w:rFonts w:ascii="Calibri" w:hAnsi="Calibri" w:cs="Calibri"/>
          <w:color w:val="101828"/>
        </w:rPr>
        <w:t>No worker or dispatcher was found that consumes NotificationOutbox records and advances provider delivery. The database can record that a notification should be sent while email, provider, or realtime delivery never occurs.</w:t>
      </w:r>
    </w:p>
    <w:p>
      <w:pPr>
        <w:pStyle w:val="Heading2"/>
      </w:pPr>
      <w:r>
        <w:t>Current channel behavior</w:t>
      </w:r>
    </w:p>
    <w:tbl>
      <w:tblPr>
        <w:tblW w:type="dxa" w:w="9360"/>
        <w:jc w:val="left"/>
        <w:tblLayout w:type="fixed"/>
        <w:tblLook w:firstColumn="1" w:firstRow="1" w:lastColumn="0" w:lastRow="0" w:noHBand="0" w:noVBand="1" w:val="04A0"/>
        <w:tblInd w:w="120" w:type="dxa"/>
        <w:tblBorders>
          <w:top w:val="single" w:sz="4" w:space="0" w:color="D0D5DD"/>
          <w:left w:val="single" w:sz="4" w:space="0" w:color="D0D5DD"/>
          <w:bottom w:val="single" w:sz="4" w:space="0" w:color="D0D5DD"/>
          <w:right w:val="single" w:sz="4" w:space="0" w:color="D0D5DD"/>
          <w:insideH w:val="single" w:sz="4" w:space="0" w:color="D0D5DD"/>
          <w:insideV w:val="single" w:sz="4" w:space="0" w:color="D0D5DD"/>
        </w:tblBorders>
      </w:tblPr>
      <w:tblGrid>
        <w:gridCol w:w="1500"/>
        <w:gridCol w:w="4400"/>
        <w:gridCol w:w="3460"/>
      </w:tblGrid>
      <w:tr>
        <w:trPr>
          <w:tblHeader w:val="true"/>
          <w:cantSplit/>
        </w:trPr>
        <w:tc>
          <w:tcPr>
            <w:tcW w:type="dxa" w:w="1500"/>
            <w:tcMar>
              <w:top w:w="80" w:type="dxa"/>
              <w:start w:w="120" w:type="dxa"/>
              <w:bottom w:w="80" w:type="dxa"/>
              <w:end w:w="120" w:type="dxa"/>
            </w:tcMar>
            <w:shd w:fill="F2F4F7"/>
            <w:vAlign w:val="center"/>
          </w:tcPr>
          <w:p>
            <w:pPr>
              <w:spacing w:before="0" w:after="0" w:line="252" w:lineRule="auto"/>
            </w:pPr>
            <w:r/>
            <w:r>
              <w:rPr>
                <w:rFonts w:ascii="Calibri" w:hAnsi="Calibri" w:cs="Calibri"/>
                <w:b/>
                <w:color w:val="0B2545"/>
                <w:sz w:val="17"/>
              </w:rPr>
              <w:t>Channel</w:t>
            </w:r>
          </w:p>
        </w:tc>
        <w:tc>
          <w:tcPr>
            <w:tcW w:type="dxa" w:w="4400"/>
            <w:tcMar>
              <w:top w:w="80" w:type="dxa"/>
              <w:start w:w="120" w:type="dxa"/>
              <w:bottom w:w="80" w:type="dxa"/>
              <w:end w:w="120" w:type="dxa"/>
            </w:tcMar>
            <w:shd w:fill="F2F4F7"/>
            <w:vAlign w:val="center"/>
          </w:tcPr>
          <w:p>
            <w:pPr>
              <w:spacing w:before="0" w:after="0" w:line="252" w:lineRule="auto"/>
            </w:pPr>
            <w:r/>
            <w:r>
              <w:rPr>
                <w:rFonts w:ascii="Calibri" w:hAnsi="Calibri" w:cs="Calibri"/>
                <w:b/>
                <w:color w:val="0B2545"/>
                <w:sz w:val="17"/>
              </w:rPr>
              <w:t>Observed implementation</w:t>
            </w:r>
          </w:p>
        </w:tc>
        <w:tc>
          <w:tcPr>
            <w:tcW w:type="dxa" w:w="3460"/>
            <w:tcMar>
              <w:top w:w="80" w:type="dxa"/>
              <w:start w:w="120" w:type="dxa"/>
              <w:bottom w:w="80" w:type="dxa"/>
              <w:end w:w="120" w:type="dxa"/>
            </w:tcMar>
            <w:shd w:fill="F2F4F7"/>
            <w:vAlign w:val="center"/>
          </w:tcPr>
          <w:p>
            <w:pPr>
              <w:spacing w:before="0" w:after="0" w:line="252" w:lineRule="auto"/>
            </w:pPr>
            <w:r/>
            <w:r>
              <w:rPr>
                <w:rFonts w:ascii="Calibri" w:hAnsi="Calibri" w:cs="Calibri"/>
                <w:b/>
                <w:color w:val="0B2545"/>
                <w:sz w:val="17"/>
              </w:rPr>
              <w:t>Readiness</w:t>
            </w:r>
          </w:p>
        </w:tc>
      </w:tr>
      <w:tr>
        <w:trPr>
          <w:cantSplit/>
        </w:trPr>
        <w:tc>
          <w:tcPr>
            <w:tcW w:type="dxa" w:w="15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In-app</w:t>
            </w:r>
          </w:p>
        </w:tc>
        <w:tc>
          <w:tcPr>
            <w:tcW w:type="dxa" w:w="44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Notification records queried through API; read/unread state</w:t>
            </w:r>
          </w:p>
        </w:tc>
        <w:tc>
          <w:tcPr>
            <w:tcW w:type="dxa" w:w="346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Functional foundation</w:t>
            </w:r>
          </w:p>
        </w:tc>
      </w:tr>
      <w:tr>
        <w:trPr>
          <w:cantSplit/>
        </w:trPr>
        <w:tc>
          <w:tcPr>
            <w:tcW w:type="dxa" w:w="15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Realtime</w:t>
            </w:r>
          </w:p>
        </w:tc>
        <w:tc>
          <w:tcPr>
            <w:tcW w:type="dxa" w:w="44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Socket.IO rooms user:&lt;id&gt;; Redis pattern subscription notifications:*</w:t>
            </w:r>
          </w:p>
        </w:tc>
        <w:tc>
          <w:tcPr>
            <w:tcW w:type="dxa" w:w="346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Subscriber exists; publishing path from outbox was not found</w:t>
            </w:r>
          </w:p>
        </w:tc>
      </w:tr>
      <w:tr>
        <w:trPr>
          <w:cantSplit/>
        </w:trPr>
        <w:tc>
          <w:tcPr>
            <w:tcW w:type="dxa" w:w="15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Email</w:t>
            </w:r>
          </w:p>
        </w:tc>
        <w:tc>
          <w:tcPr>
            <w:tcW w:type="dxa" w:w="44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Resend primary with SMTP fallback in direct transactional helper</w:t>
            </w:r>
          </w:p>
        </w:tc>
        <w:tc>
          <w:tcPr>
            <w:tcW w:type="dxa" w:w="346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Direct path exists; outbox integration incomplete</w:t>
            </w:r>
          </w:p>
        </w:tc>
      </w:tr>
      <w:tr>
        <w:trPr>
          <w:cantSplit/>
        </w:trPr>
        <w:tc>
          <w:tcPr>
            <w:tcW w:type="dxa" w:w="15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SMS / messaging</w:t>
            </w:r>
          </w:p>
        </w:tc>
        <w:tc>
          <w:tcPr>
            <w:tcW w:type="dxa" w:w="44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Twilio and Firebase dependencies appear in manifests</w:t>
            </w:r>
          </w:p>
        </w:tc>
        <w:tc>
          <w:tcPr>
            <w:tcW w:type="dxa" w:w="346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No reviewed production delivery path; do not claim</w:t>
            </w:r>
          </w:p>
        </w:tc>
      </w:tr>
    </w:tbl>
    <w:p>
      <w:pPr>
        <w:spacing w:after="20"/>
      </w:pPr>
    </w:p>
    <w:p>
      <w:pPr>
        <w:pStyle w:val="Heading2"/>
      </w:pPr>
      <w:r>
        <w:t>Realtime model</w:t>
      </w:r>
    </w:p>
    <w:p>
      <w:pPr>
        <w:keepLines w:val="0"/>
      </w:pPr>
      <w:r>
        <w:rPr>
          <w:rFonts w:ascii="Calibri" w:hAnsi="Calibri" w:cs="Calibri"/>
          <w:b w:val="0"/>
          <w:i w:val="0"/>
        </w:rPr>
        <w:t>Socket.IO accepts a token from cookie or handshake auth. Authenticated connections join user-specific rooms. Unauthenticated connections can establish a socket but do not join privileged rooms. The API subscribes to Redis notification patterns and emits to matching user rooms. The authorization boundary is therefore room assignment, which should be continuously tested and instrumented.</w:t>
      </w:r>
    </w:p>
    <w:p>
      <w:pPr>
        <w:pStyle w:val="Heading2"/>
      </w:pPr>
      <w:r>
        <w:t>Scheduled work</w:t>
      </w:r>
    </w:p>
    <w:p>
      <w:pPr>
        <w:keepLines w:val="0"/>
      </w:pPr>
      <w:r>
        <w:rPr>
          <w:rFonts w:ascii="Calibri" w:hAnsi="Calibri" w:cs="Calibri"/>
          <w:b w:val="0"/>
          <w:i w:val="0"/>
        </w:rPr>
        <w:t>node-cron schedules run inside the API process for daily license expiry, hourly subscription state changes, trial reminders, and daily maintenance work. This is acceptable for one process in development, but unsafe as a production coordination strategy because every replica starts the same timers.</w:t>
      </w:r>
    </w:p>
    <w:p>
      <w:pPr>
        <w:keepLines/>
        <w:numPr>
          <w:ilvl w:val="0"/>
          <w:numId w:val="10"/>
        </w:numPr>
        <w:spacing w:after="160" w:line="280" w:lineRule="auto"/>
      </w:pPr>
      <w:r>
        <w:rPr>
          <w:rFonts w:ascii="Calibri" w:hAnsi="Calibri" w:cs="Calibri"/>
        </w:rPr>
        <w:t>Move scheduled commands to a durable queue or a single externally scheduled worker.</w:t>
      </w:r>
    </w:p>
    <w:p>
      <w:pPr>
        <w:keepLines/>
        <w:numPr>
          <w:ilvl w:val="0"/>
          <w:numId w:val="10"/>
        </w:numPr>
        <w:spacing w:after="160" w:line="280" w:lineRule="auto"/>
      </w:pPr>
      <w:r>
        <w:rPr>
          <w:rFonts w:ascii="Calibri" w:hAnsi="Calibri" w:cs="Calibri"/>
        </w:rPr>
        <w:t>Give every job a deterministic idempotency key and database-verified state transition.</w:t>
      </w:r>
    </w:p>
    <w:p>
      <w:pPr>
        <w:keepLines/>
        <w:numPr>
          <w:ilvl w:val="0"/>
          <w:numId w:val="10"/>
        </w:numPr>
        <w:spacing w:after="160" w:line="280" w:lineRule="auto"/>
      </w:pPr>
      <w:r>
        <w:rPr>
          <w:rFonts w:ascii="Calibri" w:hAnsi="Calibri" w:cs="Calibri"/>
        </w:rPr>
        <w:t>Record attempts, duration, outcome, retry count, and dead-letter reason; expose lag and failure metrics.</w:t>
      </w:r>
    </w:p>
    <w:p>
      <w:pPr>
        <w:keepLines/>
        <w:numPr>
          <w:ilvl w:val="0"/>
          <w:numId w:val="10"/>
        </w:numPr>
        <w:spacing w:after="160" w:line="280" w:lineRule="auto"/>
      </w:pPr>
      <w:r>
        <w:rPr>
          <w:rFonts w:ascii="Calibri" w:hAnsi="Calibri" w:cs="Calibri"/>
        </w:rPr>
        <w:t>Separate delivery workers from API request latency and scale them by queue depth.</w:t>
      </w:r>
    </w:p>
    <w:p>
      <w:pPr>
        <w:pStyle w:val="Heading1"/>
      </w:pPr>
      <w:r>
        <w:t>12. Security and privacy</w:t>
      </w:r>
    </w:p>
    <w:p>
      <w:pPr>
        <w:pStyle w:val="Heading2"/>
      </w:pPr>
      <w:r>
        <w:t>Security controls evidenced</w:t>
      </w:r>
    </w:p>
    <w:tbl>
      <w:tblPr>
        <w:tblW w:type="dxa" w:w="9360"/>
        <w:jc w:val="left"/>
        <w:tblLayout w:type="fixed"/>
        <w:tblLook w:firstColumn="1" w:firstRow="1" w:lastColumn="0" w:lastRow="0" w:noHBand="0" w:noVBand="1" w:val="04A0"/>
        <w:tblInd w:w="120" w:type="dxa"/>
        <w:tblBorders>
          <w:top w:val="single" w:sz="4" w:space="0" w:color="D0D5DD"/>
          <w:left w:val="single" w:sz="4" w:space="0" w:color="D0D5DD"/>
          <w:bottom w:val="single" w:sz="4" w:space="0" w:color="D0D5DD"/>
          <w:right w:val="single" w:sz="4" w:space="0" w:color="D0D5DD"/>
          <w:insideH w:val="single" w:sz="4" w:space="0" w:color="D0D5DD"/>
          <w:insideV w:val="single" w:sz="4" w:space="0" w:color="D0D5DD"/>
        </w:tblBorders>
      </w:tblPr>
      <w:tblGrid>
        <w:gridCol w:w="1700"/>
        <w:gridCol w:w="7660"/>
      </w:tblGrid>
      <w:tr>
        <w:trPr>
          <w:tblHeader w:val="true"/>
          <w:cantSplit/>
        </w:trPr>
        <w:tc>
          <w:tcPr>
            <w:tcW w:type="dxa" w:w="1700"/>
            <w:tcMar>
              <w:top w:w="80" w:type="dxa"/>
              <w:start w:w="120" w:type="dxa"/>
              <w:bottom w:w="80" w:type="dxa"/>
              <w:end w:w="120" w:type="dxa"/>
            </w:tcMar>
            <w:shd w:fill="F2F4F7"/>
            <w:vAlign w:val="center"/>
          </w:tcPr>
          <w:p>
            <w:pPr>
              <w:spacing w:before="0" w:after="0" w:line="252" w:lineRule="auto"/>
            </w:pPr>
            <w:r/>
            <w:r>
              <w:rPr>
                <w:rFonts w:ascii="Calibri" w:hAnsi="Calibri" w:cs="Calibri"/>
                <w:b/>
                <w:color w:val="0B2545"/>
                <w:sz w:val="17"/>
              </w:rPr>
              <w:t>Layer</w:t>
            </w:r>
          </w:p>
        </w:tc>
        <w:tc>
          <w:tcPr>
            <w:tcW w:type="dxa" w:w="7660"/>
            <w:tcMar>
              <w:top w:w="80" w:type="dxa"/>
              <w:start w:w="120" w:type="dxa"/>
              <w:bottom w:w="80" w:type="dxa"/>
              <w:end w:w="120" w:type="dxa"/>
            </w:tcMar>
            <w:shd w:fill="F2F4F7"/>
            <w:vAlign w:val="center"/>
          </w:tcPr>
          <w:p>
            <w:pPr>
              <w:spacing w:before="0" w:after="0" w:line="252" w:lineRule="auto"/>
            </w:pPr>
            <w:r/>
            <w:r>
              <w:rPr>
                <w:rFonts w:ascii="Calibri" w:hAnsi="Calibri" w:cs="Calibri"/>
                <w:b/>
                <w:color w:val="0B2545"/>
                <w:sz w:val="17"/>
              </w:rPr>
              <w:t>Controls observed</w:t>
            </w:r>
          </w:p>
        </w:tc>
      </w:tr>
      <w:tr>
        <w:trPr>
          <w:cantSplit/>
        </w:trPr>
        <w:tc>
          <w:tcPr>
            <w:tcW w:type="dxa" w:w="17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Request perimeter</w:t>
            </w:r>
          </w:p>
        </w:tc>
        <w:tc>
          <w:tcPr>
            <w:tcW w:type="dxa" w:w="766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Forwarded-header sanitation, request IDs, x-middleware-subrequest rejection, CORS, CSRF origin checks, Helmet/CSP, rate limiting.</w:t>
            </w:r>
          </w:p>
        </w:tc>
      </w:tr>
      <w:tr>
        <w:trPr>
          <w:cantSplit/>
        </w:trPr>
        <w:tc>
          <w:tcPr>
            <w:tcW w:type="dxa" w:w="17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Identity</w:t>
            </w:r>
          </w:p>
        </w:tc>
        <w:tc>
          <w:tcPr>
            <w:tcW w:type="dxa" w:w="766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JWT issuer/audience, required secret, HttpOnly/Secure cookies, bcrypt cost 12, 2FA, recovery codes, hashed API/public/email tokens.</w:t>
            </w:r>
          </w:p>
        </w:tc>
      </w:tr>
      <w:tr>
        <w:trPr>
          <w:cantSplit/>
        </w:trPr>
        <w:tc>
          <w:tcPr>
            <w:tcW w:type="dxa" w:w="17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Authorization</w:t>
            </w:r>
          </w:p>
        </w:tc>
        <w:tc>
          <w:tcPr>
            <w:tcW w:type="dxa" w:w="766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Actor-specific middleware, tenant reload, admin role allowlists, employee rank checks, subscription access gates.</w:t>
            </w:r>
          </w:p>
        </w:tc>
      </w:tr>
      <w:tr>
        <w:trPr>
          <w:cantSplit/>
        </w:trPr>
        <w:tc>
          <w:tcPr>
            <w:tcW w:type="dxa" w:w="17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Input/data</w:t>
            </w:r>
          </w:p>
        </w:tc>
        <w:tc>
          <w:tcPr>
            <w:tcW w:type="dxa" w:w="766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Zod validation, centralized errors, Prisma repositories, tenant predicates, transactional services.</w:t>
            </w:r>
          </w:p>
        </w:tc>
      </w:tr>
      <w:tr>
        <w:trPr>
          <w:cantSplit/>
        </w:trPr>
        <w:tc>
          <w:tcPr>
            <w:tcW w:type="dxa" w:w="17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Files</w:t>
            </w:r>
          </w:p>
        </w:tc>
        <w:tc>
          <w:tcPr>
            <w:tcW w:type="dxa" w:w="766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Public/private split, path traversal defense, size/type/magic-byte and image-dimension validation, production root requirements.</w:t>
            </w:r>
          </w:p>
        </w:tc>
      </w:tr>
      <w:tr>
        <w:trPr>
          <w:cantSplit/>
        </w:trPr>
        <w:tc>
          <w:tcPr>
            <w:tcW w:type="dxa" w:w="17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Payments</w:t>
            </w:r>
          </w:p>
        </w:tc>
        <w:tc>
          <w:tcPr>
            <w:tcW w:type="dxa" w:w="766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Raw webhook bodies, provider signatures/HMAC, event persistence, payload hash, duplicate/stale handling.</w:t>
            </w:r>
          </w:p>
        </w:tc>
      </w:tr>
      <w:tr>
        <w:trPr>
          <w:cantSplit/>
        </w:trPr>
        <w:tc>
          <w:tcPr>
            <w:tcW w:type="dxa" w:w="17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Documentation</w:t>
            </w:r>
          </w:p>
        </w:tc>
        <w:tc>
          <w:tcPr>
            <w:tcW w:type="dxa" w:w="766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Production Swagger is disabled unless explicitly enabled.</w:t>
            </w:r>
          </w:p>
        </w:tc>
      </w:tr>
    </w:tbl>
    <w:p>
      <w:pPr>
        <w:spacing w:after="20"/>
      </w:pPr>
    </w:p>
    <w:p>
      <w:pPr>
        <w:pStyle w:val="Heading2"/>
      </w:pPr>
      <w:r>
        <w:t>Dependency posture</w:t>
      </w:r>
    </w:p>
    <w:p>
      <w:pPr>
        <w:keepLines w:val="0"/>
      </w:pPr>
      <w:r>
        <w:rPr>
          <w:rFonts w:ascii="Calibri" w:hAnsi="Calibri" w:cs="Calibri"/>
          <w:b w:val="0"/>
          <w:i w:val="0"/>
        </w:rPr>
        <w:t>A production-dependency audit on 9 August 2026 reported 530 production packages and 21 known vulnerabilities: 1 critical, 14 high, 5 moderate, and 1 low. Direct vulnerable package families included firebase-admin, morgan, Next.js, postcss, and sharp; the critical protobufjs path was transitive through firebase-admin. The exact advisory set will change over time, but the current result is a release blocker until triaged and remediated.</w:t>
      </w:r>
    </w:p>
    <w:tbl>
      <w:tblPr>
        <w:tblW w:type="dxa" w:w="9360"/>
        <w:jc w:val="left"/>
        <w:tblLayout w:type="fixed"/>
        <w:tblLook w:firstColumn="1" w:firstRow="1" w:lastColumn="0" w:lastRow="0" w:noHBand="0" w:noVBand="1" w:val="04A0"/>
        <w:tblInd w:w="120" w:type="dxa"/>
        <w:tblBorders>
          <w:top w:val="single" w:sz="4" w:space="0" w:color="D0D5DD"/>
          <w:left w:val="single" w:sz="4" w:space="0" w:color="D0D5DD"/>
          <w:bottom w:val="single" w:sz="4" w:space="0" w:color="D0D5DD"/>
          <w:right w:val="single" w:sz="4" w:space="0" w:color="D0D5DD"/>
          <w:insideH w:val="single" w:sz="4" w:space="0" w:color="D0D5DD"/>
          <w:insideV w:val="single" w:sz="4" w:space="0" w:color="D0D5DD"/>
        </w:tblBorders>
      </w:tblPr>
      <w:tblGrid>
        <w:gridCol w:w="1700"/>
        <w:gridCol w:w="900"/>
        <w:gridCol w:w="6760"/>
      </w:tblGrid>
      <w:tr>
        <w:trPr>
          <w:tblHeader w:val="true"/>
          <w:cantSplit/>
        </w:trPr>
        <w:tc>
          <w:tcPr>
            <w:tcW w:type="dxa" w:w="1700"/>
            <w:tcMar>
              <w:top w:w="80" w:type="dxa"/>
              <w:start w:w="120" w:type="dxa"/>
              <w:bottom w:w="80" w:type="dxa"/>
              <w:end w:w="120" w:type="dxa"/>
            </w:tcMar>
            <w:shd w:fill="F2F4F7"/>
            <w:vAlign w:val="center"/>
          </w:tcPr>
          <w:p>
            <w:pPr>
              <w:spacing w:before="0" w:after="0" w:line="252" w:lineRule="auto"/>
            </w:pPr>
            <w:r/>
            <w:r>
              <w:rPr>
                <w:rFonts w:ascii="Calibri" w:hAnsi="Calibri" w:cs="Calibri"/>
                <w:b/>
                <w:color w:val="0B2545"/>
                <w:sz w:val="18"/>
              </w:rPr>
              <w:t>Severity</w:t>
            </w:r>
          </w:p>
        </w:tc>
        <w:tc>
          <w:tcPr>
            <w:tcW w:type="dxa" w:w="900"/>
            <w:tcMar>
              <w:top w:w="80" w:type="dxa"/>
              <w:start w:w="120" w:type="dxa"/>
              <w:bottom w:w="80" w:type="dxa"/>
              <w:end w:w="120" w:type="dxa"/>
            </w:tcMar>
            <w:shd w:fill="F2F4F7"/>
            <w:vAlign w:val="center"/>
          </w:tcPr>
          <w:p>
            <w:pPr>
              <w:spacing w:before="0" w:after="0" w:line="252" w:lineRule="auto"/>
            </w:pPr>
            <w:r/>
            <w:r>
              <w:rPr>
                <w:rFonts w:ascii="Calibri" w:hAnsi="Calibri" w:cs="Calibri"/>
                <w:b/>
                <w:color w:val="0B2545"/>
                <w:sz w:val="18"/>
              </w:rPr>
              <w:t>Count</w:t>
            </w:r>
          </w:p>
        </w:tc>
        <w:tc>
          <w:tcPr>
            <w:tcW w:type="dxa" w:w="6760"/>
            <w:tcMar>
              <w:top w:w="80" w:type="dxa"/>
              <w:start w:w="120" w:type="dxa"/>
              <w:bottom w:w="80" w:type="dxa"/>
              <w:end w:w="120" w:type="dxa"/>
            </w:tcMar>
            <w:shd w:fill="F2F4F7"/>
            <w:vAlign w:val="center"/>
          </w:tcPr>
          <w:p>
            <w:pPr>
              <w:spacing w:before="0" w:after="0" w:line="252" w:lineRule="auto"/>
            </w:pPr>
            <w:r/>
            <w:r>
              <w:rPr>
                <w:rFonts w:ascii="Calibri" w:hAnsi="Calibri" w:cs="Calibri"/>
                <w:b/>
                <w:color w:val="0B2545"/>
                <w:sz w:val="18"/>
              </w:rPr>
              <w:t>Required treatment</w:t>
            </w:r>
          </w:p>
        </w:tc>
      </w:tr>
      <w:tr>
        <w:trPr>
          <w:cantSplit/>
        </w:trPr>
        <w:tc>
          <w:tcPr>
            <w:tcW w:type="dxa" w:w="1700"/>
            <w:shd w:fill="FDECEC"/>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Critical</w:t>
            </w:r>
          </w:p>
        </w:tc>
        <w:tc>
          <w:tcPr>
            <w:tcW w:type="dxa" w:w="900"/>
            <w:shd w:fill="FDECEC"/>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1</w:t>
            </w:r>
          </w:p>
        </w:tc>
        <w:tc>
          <w:tcPr>
            <w:tcW w:type="dxa" w:w="6760"/>
            <w:shd w:fill="FDECEC"/>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Remove/upgrade affected dependency and verify exploitability before any production release.</w:t>
            </w:r>
          </w:p>
        </w:tc>
      </w:tr>
      <w:tr>
        <w:trPr>
          <w:cantSplit/>
        </w:trPr>
        <w:tc>
          <w:tcPr>
            <w:tcW w:type="dxa" w:w="1700"/>
            <w:shd w:fill="FDECEC"/>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High</w:t>
            </w:r>
          </w:p>
        </w:tc>
        <w:tc>
          <w:tcPr>
            <w:tcW w:type="dxa" w:w="900"/>
            <w:shd w:fill="FDECEC"/>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14</w:t>
            </w:r>
          </w:p>
        </w:tc>
        <w:tc>
          <w:tcPr>
            <w:tcW w:type="dxa" w:w="6760"/>
            <w:shd w:fill="FDECEC"/>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Patch or document compensating control with risk acceptance and expiry.</w:t>
            </w:r>
          </w:p>
        </w:tc>
      </w:tr>
      <w:tr>
        <w:trPr>
          <w:cantSplit/>
        </w:trPr>
        <w:tc>
          <w:tcPr>
            <w:tcW w:type="dxa" w:w="1700"/>
            <w:shd w:fill="FFF6D8"/>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Moderate</w:t>
            </w:r>
          </w:p>
        </w:tc>
        <w:tc>
          <w:tcPr>
            <w:tcW w:type="dxa" w:w="900"/>
            <w:shd w:fill="FFF6D8"/>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5</w:t>
            </w:r>
          </w:p>
        </w:tc>
        <w:tc>
          <w:tcPr>
            <w:tcW w:type="dxa" w:w="6760"/>
            <w:shd w:fill="FFF6D8"/>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Patch in the hardening sprint; minimize unused dependency surface.</w:t>
            </w:r>
          </w:p>
        </w:tc>
      </w:tr>
      <w:tr>
        <w:trPr>
          <w:cantSplit/>
        </w:trPr>
        <w:tc>
          <w:tcPr>
            <w:tcW w:type="dxa" w:w="17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Low</w:t>
            </w:r>
          </w:p>
        </w:tc>
        <w:tc>
          <w:tcPr>
            <w:tcW w:type="dxa" w:w="9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1</w:t>
            </w:r>
          </w:p>
        </w:tc>
        <w:tc>
          <w:tcPr>
            <w:tcW w:type="dxa" w:w="676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Track and update with routine dependency maintenance.</w:t>
            </w:r>
          </w:p>
        </w:tc>
      </w:tr>
    </w:tbl>
    <w:p>
      <w:pPr>
        <w:spacing w:after="20"/>
      </w:pPr>
    </w:p>
    <w:p>
      <w:pPr>
        <w:pStyle w:val="Heading2"/>
      </w:pPr>
      <w:r>
        <w:t>Personal-data exposure</w:t>
      </w:r>
    </w:p>
    <w:p>
      <w:pPr>
        <w:keepLines w:val="0"/>
      </w:pPr>
      <w:r>
        <w:rPr>
          <w:rFonts w:ascii="Calibri" w:hAnsi="Calibri" w:cs="Calibri"/>
          <w:b w:val="0"/>
          <w:i w:val="0"/>
        </w:rPr>
        <w:t>The domain can store identity and operational evidence including names, contact details, date of birth, nationality, addresses, driver-license data/images, additional-driver details, contracts, reservation photos, insurance, damage inspections, and complaints. The reviewed package does not evidence field-level encryption, KMS-managed keys, formal retention/deletion automation, data-subject request workflows, legal-basis records, processor inventory, or breach-response playbooks.</w:t>
      </w:r>
    </w:p>
    <w:p>
      <w:pPr>
        <w:pStyle w:val="Heading2"/>
      </w:pPr>
      <w:r>
        <w:t>Security priorities</w:t>
      </w:r>
    </w:p>
    <w:p>
      <w:pPr>
        <w:keepLines/>
        <w:numPr>
          <w:ilvl w:val="0"/>
          <w:numId w:val="10"/>
        </w:numPr>
        <w:spacing w:after="160" w:line="280" w:lineRule="auto"/>
      </w:pPr>
      <w:r>
        <w:rPr>
          <w:rFonts w:ascii="Calibri" w:hAnsi="Calibri" w:cs="Calibri"/>
          <w:b/>
          <w:color w:val="0B2545"/>
        </w:rPr>
        <w:t>Remove exposure:</w:t>
      </w:r>
      <w:r>
        <w:rPr>
          <w:rFonts w:ascii="Calibri" w:hAnsi="Calibri" w:cs="Calibri"/>
        </w:rPr>
        <w:t xml:space="preserve"> Patch vulnerable and unused dependencies; eliminate bundled .env/build artifacts; rotate any secrets that may have entered archives.</w:t>
      </w:r>
    </w:p>
    <w:p>
      <w:pPr>
        <w:keepLines/>
        <w:numPr>
          <w:ilvl w:val="0"/>
          <w:numId w:val="10"/>
        </w:numPr>
        <w:spacing w:after="160" w:line="280" w:lineRule="auto"/>
      </w:pPr>
      <w:r>
        <w:rPr>
          <w:rFonts w:ascii="Calibri" w:hAnsi="Calibri" w:cs="Calibri"/>
          <w:b/>
          <w:color w:val="0B2545"/>
        </w:rPr>
        <w:t>Prove isolation:</w:t>
      </w:r>
      <w:r>
        <w:rPr>
          <w:rFonts w:ascii="Calibri" w:hAnsi="Calibri" w:cs="Calibri"/>
        </w:rPr>
        <w:t xml:space="preserve"> Add automated cross-tenant negative tests for every repository/route family; evaluate PostgreSQL row-level security for defense in depth.</w:t>
      </w:r>
    </w:p>
    <w:p>
      <w:pPr>
        <w:keepLines/>
        <w:numPr>
          <w:ilvl w:val="0"/>
          <w:numId w:val="10"/>
        </w:numPr>
        <w:spacing w:after="160" w:line="280" w:lineRule="auto"/>
      </w:pPr>
      <w:r>
        <w:rPr>
          <w:rFonts w:ascii="Calibri" w:hAnsi="Calibri" w:cs="Calibri"/>
          <w:b/>
          <w:color w:val="0B2545"/>
        </w:rPr>
        <w:t>Protect sensitive data:</w:t>
      </w:r>
      <w:r>
        <w:rPr>
          <w:rFonts w:ascii="Calibri" w:hAnsi="Calibri" w:cs="Calibri"/>
        </w:rPr>
        <w:t xml:space="preserve"> Classify fields/files, encrypt high-risk data, restrict decryption, define retention, and log privileged reads/exports.</w:t>
      </w:r>
    </w:p>
    <w:p>
      <w:pPr>
        <w:keepLines/>
        <w:numPr>
          <w:ilvl w:val="0"/>
          <w:numId w:val="10"/>
        </w:numPr>
        <w:spacing w:after="160" w:line="280" w:lineRule="auto"/>
      </w:pPr>
      <w:r>
        <w:rPr>
          <w:rFonts w:ascii="Calibri" w:hAnsi="Calibri" w:cs="Calibri"/>
          <w:b/>
          <w:color w:val="0B2545"/>
        </w:rPr>
        <w:t>Centralize secrets:</w:t>
      </w:r>
      <w:r>
        <w:rPr>
          <w:rFonts w:ascii="Calibri" w:hAnsi="Calibri" w:cs="Calibri"/>
        </w:rPr>
        <w:t xml:space="preserve"> Use a managed secrets service, documented key ownership, staged rotation, and startup validation without logging values.</w:t>
      </w:r>
    </w:p>
    <w:p>
      <w:pPr>
        <w:keepLines/>
        <w:numPr>
          <w:ilvl w:val="0"/>
          <w:numId w:val="10"/>
        </w:numPr>
        <w:spacing w:after="160" w:line="280" w:lineRule="auto"/>
      </w:pPr>
      <w:r>
        <w:rPr>
          <w:rFonts w:ascii="Calibri" w:hAnsi="Calibri" w:cs="Calibri"/>
          <w:b/>
          <w:color w:val="0B2545"/>
        </w:rPr>
        <w:t>Expand audit:</w:t>
      </w:r>
      <w:r>
        <w:rPr>
          <w:rFonts w:ascii="Calibri" w:hAnsi="Calibri" w:cs="Calibri"/>
        </w:rPr>
        <w:t xml:space="preserve"> Cover every sensitive mutation, refund, role change, data export, support impersonation, and configuration change with immutable context.</w:t>
      </w:r>
    </w:p>
    <w:p>
      <w:pPr>
        <w:keepLines/>
        <w:numPr>
          <w:ilvl w:val="0"/>
          <w:numId w:val="10"/>
        </w:numPr>
        <w:spacing w:after="160" w:line="280" w:lineRule="auto"/>
      </w:pPr>
      <w:r>
        <w:rPr>
          <w:rFonts w:ascii="Calibri" w:hAnsi="Calibri" w:cs="Calibri"/>
          <w:b/>
          <w:color w:val="0B2545"/>
        </w:rPr>
        <w:t>Validate externally:</w:t>
      </w:r>
      <w:r>
        <w:rPr>
          <w:rFonts w:ascii="Calibri" w:hAnsi="Calibri" w:cs="Calibri"/>
        </w:rPr>
        <w:t xml:space="preserve"> Perform threat modeling, SAST/SCA/secrets/IaC/container scanning, and an independent penetration test after the deployment envelope is restored.</w:t>
      </w:r>
    </w:p>
    <w:p>
      <w:pPr>
        <w:pStyle w:val="Heading1"/>
      </w:pPr>
      <w:r>
        <w:t>13. Deployment, operations, and scalability</w:t>
      </w:r>
    </w:p>
    <w:p>
      <w:pPr>
        <w:pStyle w:val="Heading2"/>
      </w:pPr>
      <w:r>
        <w:t>Deployment intent versus evidence</w:t>
      </w:r>
    </w:p>
    <w:p>
      <w:pPr>
        <w:keepLines w:val="0"/>
      </w:pPr>
      <w:r>
        <w:rPr>
          <w:rFonts w:ascii="Calibri" w:hAnsi="Calibri" w:cs="Calibri"/>
          <w:b w:val="0"/>
          <w:i w:val="0"/>
        </w:rPr>
        <w:t>Root scripts imply a Docker Compose deployment with separately runnable frontends, API, PostgreSQL, Redis, registry/management tools, and backup/restore commands. None of the referenced Compose files or scripts was present. Accordingly, the runtime topology in this report is a logical architecture, not a verified production deployment.</w:t>
      </w:r>
    </w:p>
    <w:tbl>
      <w:tblPr>
        <w:tblW w:type="dxa" w:w="9360"/>
        <w:jc w:val="left"/>
        <w:tblLayout w:type="fixed"/>
        <w:tblLook w:firstColumn="1" w:firstRow="1" w:lastColumn="0" w:lastRow="0" w:noHBand="0" w:noVBand="1" w:val="04A0"/>
        <w:tblInd w:w="120" w:type="dxa"/>
        <w:tblBorders>
          <w:top w:val="single" w:sz="4" w:space="0" w:color="D0D5DD"/>
          <w:left w:val="single" w:sz="4" w:space="0" w:color="D0D5DD"/>
          <w:bottom w:val="single" w:sz="4" w:space="0" w:color="D0D5DD"/>
          <w:right w:val="single" w:sz="4" w:space="0" w:color="D0D5DD"/>
          <w:insideH w:val="single" w:sz="4" w:space="0" w:color="D0D5DD"/>
          <w:insideV w:val="single" w:sz="4" w:space="0" w:color="D0D5DD"/>
        </w:tblBorders>
      </w:tblPr>
      <w:tblGrid>
        <w:gridCol w:w="1600"/>
        <w:gridCol w:w="3530"/>
        <w:gridCol w:w="4230"/>
      </w:tblGrid>
      <w:tr>
        <w:trPr>
          <w:tblHeader w:val="true"/>
          <w:cantSplit/>
        </w:trPr>
        <w:tc>
          <w:tcPr>
            <w:tcW w:type="dxa" w:w="1600"/>
            <w:tcMar>
              <w:top w:w="80" w:type="dxa"/>
              <w:start w:w="120" w:type="dxa"/>
              <w:bottom w:w="80" w:type="dxa"/>
              <w:end w:w="120" w:type="dxa"/>
            </w:tcMar>
            <w:shd w:fill="F2F4F7"/>
            <w:vAlign w:val="center"/>
          </w:tcPr>
          <w:p>
            <w:pPr>
              <w:spacing w:before="0" w:after="0" w:line="252" w:lineRule="auto"/>
            </w:pPr>
            <w:r/>
            <w:r>
              <w:rPr>
                <w:rFonts w:ascii="Calibri" w:hAnsi="Calibri" w:cs="Calibri"/>
                <w:b/>
                <w:color w:val="0B2545"/>
                <w:sz w:val="17"/>
              </w:rPr>
              <w:t>Capability</w:t>
            </w:r>
          </w:p>
        </w:tc>
        <w:tc>
          <w:tcPr>
            <w:tcW w:type="dxa" w:w="3530"/>
            <w:tcMar>
              <w:top w:w="80" w:type="dxa"/>
              <w:start w:w="120" w:type="dxa"/>
              <w:bottom w:w="80" w:type="dxa"/>
              <w:end w:w="120" w:type="dxa"/>
            </w:tcMar>
            <w:shd w:fill="F2F4F7"/>
            <w:vAlign w:val="center"/>
          </w:tcPr>
          <w:p>
            <w:pPr>
              <w:spacing w:before="0" w:after="0" w:line="252" w:lineRule="auto"/>
            </w:pPr>
            <w:r/>
            <w:r>
              <w:rPr>
                <w:rFonts w:ascii="Calibri" w:hAnsi="Calibri" w:cs="Calibri"/>
                <w:b/>
                <w:color w:val="0B2545"/>
                <w:sz w:val="17"/>
              </w:rPr>
              <w:t>Current evidence</w:t>
            </w:r>
          </w:p>
        </w:tc>
        <w:tc>
          <w:tcPr>
            <w:tcW w:type="dxa" w:w="4230"/>
            <w:tcMar>
              <w:top w:w="80" w:type="dxa"/>
              <w:start w:w="120" w:type="dxa"/>
              <w:bottom w:w="80" w:type="dxa"/>
              <w:end w:w="120" w:type="dxa"/>
            </w:tcMar>
            <w:shd w:fill="F2F4F7"/>
            <w:vAlign w:val="center"/>
          </w:tcPr>
          <w:p>
            <w:pPr>
              <w:spacing w:before="0" w:after="0" w:line="252" w:lineRule="auto"/>
            </w:pPr>
            <w:r/>
            <w:r>
              <w:rPr>
                <w:rFonts w:ascii="Calibri" w:hAnsi="Calibri" w:cs="Calibri"/>
                <w:b/>
                <w:color w:val="0B2545"/>
                <w:sz w:val="17"/>
              </w:rPr>
              <w:t>Production requirement</w:t>
            </w:r>
          </w:p>
        </w:tc>
      </w:tr>
      <w:tr>
        <w:trPr>
          <w:cantSplit/>
        </w:trPr>
        <w:tc>
          <w:tcPr>
            <w:tcW w:type="dxa" w:w="16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Build/release</w:t>
            </w:r>
          </w:p>
        </w:tc>
        <w:tc>
          <w:tcPr>
            <w:tcW w:type="dxa" w:w="353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npm workspaces and Turbo scripts; required configs absent</w:t>
            </w:r>
          </w:p>
        </w:tc>
        <w:tc>
          <w:tcPr>
            <w:tcW w:type="dxa" w:w="423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Clean runner, pinned toolchain, SBOM, signed immutable images, provenance/attestation.</w:t>
            </w:r>
          </w:p>
        </w:tc>
      </w:tr>
      <w:tr>
        <w:trPr>
          <w:cantSplit/>
        </w:trPr>
        <w:tc>
          <w:tcPr>
            <w:tcW w:type="dxa" w:w="16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Database migration</w:t>
            </w:r>
          </w:p>
        </w:tc>
        <w:tc>
          <w:tcPr>
            <w:tcW w:type="dxa" w:w="353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Prisma migrations and deploy script reference</w:t>
            </w:r>
          </w:p>
        </w:tc>
        <w:tc>
          <w:tcPr>
            <w:tcW w:type="dxa" w:w="423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Preflight, backward-compatible sequence, locking, rollback/roll-forward plan, backup gate.</w:t>
            </w:r>
          </w:p>
        </w:tc>
      </w:tr>
      <w:tr>
        <w:trPr>
          <w:cantSplit/>
        </w:trPr>
        <w:tc>
          <w:tcPr>
            <w:tcW w:type="dxa" w:w="16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Health</w:t>
            </w:r>
          </w:p>
        </w:tc>
        <w:tc>
          <w:tcPr>
            <w:tcW w:type="dxa" w:w="353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/health returns ok</w:t>
            </w:r>
          </w:p>
        </w:tc>
        <w:tc>
          <w:tcPr>
            <w:tcW w:type="dxa" w:w="423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Separate liveness/readiness; verify DB, Redis, storage, migrations, critical configuration.</w:t>
            </w:r>
          </w:p>
        </w:tc>
      </w:tr>
      <w:tr>
        <w:trPr>
          <w:cantSplit/>
        </w:trPr>
        <w:tc>
          <w:tcPr>
            <w:tcW w:type="dxa" w:w="16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Shutdown</w:t>
            </w:r>
          </w:p>
        </w:tc>
        <w:tc>
          <w:tcPr>
            <w:tcW w:type="dxa" w:w="353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No graceful termination path evidenced</w:t>
            </w:r>
          </w:p>
        </w:tc>
        <w:tc>
          <w:tcPr>
            <w:tcW w:type="dxa" w:w="423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Stop intake, drain HTTP/socket work, close DB/Redis, finish/lease jobs, expose termination status.</w:t>
            </w:r>
          </w:p>
        </w:tc>
      </w:tr>
      <w:tr>
        <w:trPr>
          <w:cantSplit/>
        </w:trPr>
        <w:tc>
          <w:tcPr>
            <w:tcW w:type="dxa" w:w="16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Observability</w:t>
            </w:r>
          </w:p>
        </w:tc>
        <w:tc>
          <w:tcPr>
            <w:tcW w:type="dxa" w:w="353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Morgan/console-style logging</w:t>
            </w:r>
          </w:p>
        </w:tc>
        <w:tc>
          <w:tcPr>
            <w:tcW w:type="dxa" w:w="423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Structured logs, metrics, traces, dashboards, alerts, correlation IDs, redaction.</w:t>
            </w:r>
          </w:p>
        </w:tc>
      </w:tr>
      <w:tr>
        <w:trPr>
          <w:cantSplit/>
        </w:trPr>
        <w:tc>
          <w:tcPr>
            <w:tcW w:type="dxa" w:w="16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Recovery</w:t>
            </w:r>
          </w:p>
        </w:tc>
        <w:tc>
          <w:tcPr>
            <w:tcW w:type="dxa" w:w="353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Script names only</w:t>
            </w:r>
          </w:p>
        </w:tc>
        <w:tc>
          <w:tcPr>
            <w:tcW w:type="dxa" w:w="423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Encrypted backups, PITR, object versioning, tested restore, documented RPO/RTO.</w:t>
            </w:r>
          </w:p>
        </w:tc>
      </w:tr>
      <w:tr>
        <w:trPr>
          <w:cantSplit/>
        </w:trPr>
        <w:tc>
          <w:tcPr>
            <w:tcW w:type="dxa" w:w="16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Rollout</w:t>
            </w:r>
          </w:p>
        </w:tc>
        <w:tc>
          <w:tcPr>
            <w:tcW w:type="dxa" w:w="353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Not evidenced</w:t>
            </w:r>
          </w:p>
        </w:tc>
        <w:tc>
          <w:tcPr>
            <w:tcW w:type="dxa" w:w="423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Canary/blue-green, migration compatibility, automated smoke tests, rollback trigger.</w:t>
            </w:r>
          </w:p>
        </w:tc>
      </w:tr>
    </w:tbl>
    <w:p>
      <w:pPr>
        <w:spacing w:after="20"/>
      </w:pPr>
    </w:p>
    <w:p>
      <w:pPr>
        <w:pStyle w:val="Heading2"/>
      </w:pPr>
      <w:r>
        <w:t>Horizontal scaling blockers</w:t>
      </w:r>
    </w:p>
    <w:tbl>
      <w:tblPr>
        <w:tblW w:type="dxa" w:w="9360"/>
        <w:jc w:val="left"/>
        <w:tblLayout w:type="fixed"/>
        <w:tblLook w:firstColumn="1" w:firstRow="1" w:lastColumn="0" w:lastRow="0" w:noHBand="0" w:noVBand="1" w:val="04A0"/>
        <w:tblInd w:w="120" w:type="dxa"/>
        <w:tblBorders>
          <w:top w:val="single" w:sz="4" w:space="0" w:color="D0D5DD"/>
          <w:left w:val="single" w:sz="4" w:space="0" w:color="D0D5DD"/>
          <w:bottom w:val="single" w:sz="4" w:space="0" w:color="D0D5DD"/>
          <w:right w:val="single" w:sz="4" w:space="0" w:color="D0D5DD"/>
          <w:insideH w:val="single" w:sz="4" w:space="0" w:color="D0D5DD"/>
          <w:insideV w:val="single" w:sz="4" w:space="0" w:color="D0D5DD"/>
        </w:tblBorders>
      </w:tblPr>
      <w:tblGrid>
        <w:gridCol w:w="1850"/>
        <w:gridCol w:w="3920"/>
        <w:gridCol w:w="3590"/>
      </w:tblGrid>
      <w:tr>
        <w:trPr>
          <w:tblHeader w:val="true"/>
          <w:cantSplit/>
        </w:trPr>
        <w:tc>
          <w:tcPr>
            <w:tcW w:type="dxa" w:w="1850"/>
            <w:tcMar>
              <w:top w:w="80" w:type="dxa"/>
              <w:start w:w="120" w:type="dxa"/>
              <w:bottom w:w="80" w:type="dxa"/>
              <w:end w:w="120" w:type="dxa"/>
            </w:tcMar>
            <w:shd w:fill="F2F4F7"/>
            <w:vAlign w:val="center"/>
          </w:tcPr>
          <w:p>
            <w:pPr>
              <w:spacing w:before="0" w:after="0" w:line="252" w:lineRule="auto"/>
            </w:pPr>
            <w:r/>
            <w:r>
              <w:rPr>
                <w:rFonts w:ascii="Calibri" w:hAnsi="Calibri" w:cs="Calibri"/>
                <w:b/>
                <w:color w:val="0B2545"/>
                <w:sz w:val="17"/>
              </w:rPr>
              <w:t>Blocker</w:t>
            </w:r>
          </w:p>
        </w:tc>
        <w:tc>
          <w:tcPr>
            <w:tcW w:type="dxa" w:w="3920"/>
            <w:tcMar>
              <w:top w:w="80" w:type="dxa"/>
              <w:start w:w="120" w:type="dxa"/>
              <w:bottom w:w="80" w:type="dxa"/>
              <w:end w:w="120" w:type="dxa"/>
            </w:tcMar>
            <w:shd w:fill="F2F4F7"/>
            <w:vAlign w:val="center"/>
          </w:tcPr>
          <w:p>
            <w:pPr>
              <w:spacing w:before="0" w:after="0" w:line="252" w:lineRule="auto"/>
            </w:pPr>
            <w:r/>
            <w:r>
              <w:rPr>
                <w:rFonts w:ascii="Calibri" w:hAnsi="Calibri" w:cs="Calibri"/>
                <w:b/>
                <w:color w:val="0B2545"/>
                <w:sz w:val="17"/>
              </w:rPr>
              <w:t>Failure mode at &gt;1 API replica</w:t>
            </w:r>
          </w:p>
        </w:tc>
        <w:tc>
          <w:tcPr>
            <w:tcW w:type="dxa" w:w="3590"/>
            <w:tcMar>
              <w:top w:w="80" w:type="dxa"/>
              <w:start w:w="120" w:type="dxa"/>
              <w:bottom w:w="80" w:type="dxa"/>
              <w:end w:w="120" w:type="dxa"/>
            </w:tcMar>
            <w:shd w:fill="F2F4F7"/>
            <w:vAlign w:val="center"/>
          </w:tcPr>
          <w:p>
            <w:pPr>
              <w:spacing w:before="0" w:after="0" w:line="252" w:lineRule="auto"/>
            </w:pPr>
            <w:r/>
            <w:r>
              <w:rPr>
                <w:rFonts w:ascii="Calibri" w:hAnsi="Calibri" w:cs="Calibri"/>
                <w:b/>
                <w:color w:val="0B2545"/>
                <w:sz w:val="17"/>
              </w:rPr>
              <w:t>Target design</w:t>
            </w:r>
          </w:p>
        </w:tc>
      </w:tr>
      <w:tr>
        <w:trPr>
          <w:cantSplit/>
        </w:trPr>
        <w:tc>
          <w:tcPr>
            <w:tcW w:type="dxa" w:w="185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Memory rate limits</w:t>
            </w:r>
          </w:p>
        </w:tc>
        <w:tc>
          <w:tcPr>
            <w:tcW w:type="dxa" w:w="392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Independent counters allow aggregate bypass and reset on deploy.</w:t>
            </w:r>
          </w:p>
        </w:tc>
        <w:tc>
          <w:tcPr>
            <w:tcW w:type="dxa" w:w="359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Redis-backed limit store with actor/tenant/IP policies.</w:t>
            </w:r>
          </w:p>
        </w:tc>
      </w:tr>
      <w:tr>
        <w:trPr>
          <w:cantSplit/>
        </w:trPr>
        <w:tc>
          <w:tcPr>
            <w:tcW w:type="dxa" w:w="185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Booking idempotency map</w:t>
            </w:r>
          </w:p>
        </w:tc>
        <w:tc>
          <w:tcPr>
            <w:tcW w:type="dxa" w:w="392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Duplicate commands can hit different replicas; keys vanish on restart.</w:t>
            </w:r>
          </w:p>
        </w:tc>
        <w:tc>
          <w:tcPr>
            <w:tcW w:type="dxa" w:w="359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Database/Redis idempotency ledger with response replay.</w:t>
            </w:r>
          </w:p>
        </w:tc>
      </w:tr>
      <w:tr>
        <w:trPr>
          <w:cantSplit/>
        </w:trPr>
        <w:tc>
          <w:tcPr>
            <w:tcW w:type="dxa" w:w="185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Embedded cron</w:t>
            </w:r>
          </w:p>
        </w:tc>
        <w:tc>
          <w:tcPr>
            <w:tcW w:type="dxa" w:w="392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Every replica executes the same schedule.</w:t>
            </w:r>
          </w:p>
        </w:tc>
        <w:tc>
          <w:tcPr>
            <w:tcW w:type="dxa" w:w="359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External scheduler + queue, or leader lease with idempotent jobs.</w:t>
            </w:r>
          </w:p>
        </w:tc>
      </w:tr>
      <w:tr>
        <w:trPr>
          <w:cantSplit/>
        </w:trPr>
        <w:tc>
          <w:tcPr>
            <w:tcW w:type="dxa" w:w="185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Local files</w:t>
            </w:r>
          </w:p>
        </w:tc>
        <w:tc>
          <w:tcPr>
            <w:tcW w:type="dxa" w:w="392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One replica may not see another replica's uploads; disk loss threatens evidence.</w:t>
            </w:r>
          </w:p>
        </w:tc>
        <w:tc>
          <w:tcPr>
            <w:tcW w:type="dxa" w:w="359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Object storage, private signed access, malware scanning, lifecycle/version policy.</w:t>
            </w:r>
          </w:p>
        </w:tc>
      </w:tr>
      <w:tr>
        <w:trPr>
          <w:cantSplit/>
        </w:trPr>
        <w:tc>
          <w:tcPr>
            <w:tcW w:type="dxa" w:w="185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Outbox without worker</w:t>
            </w:r>
          </w:p>
        </w:tc>
        <w:tc>
          <w:tcPr>
            <w:tcW w:type="dxa" w:w="392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Durable rows accumulate but no delivery occurs.</w:t>
            </w:r>
          </w:p>
        </w:tc>
        <w:tc>
          <w:tcPr>
            <w:tcW w:type="dxa" w:w="359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Transactional outbox consumer, retries, dead-letter, provider adapters, metrics.</w:t>
            </w:r>
          </w:p>
        </w:tc>
      </w:tr>
      <w:tr>
        <w:trPr>
          <w:cantSplit/>
        </w:trPr>
        <w:tc>
          <w:tcPr>
            <w:tcW w:type="dxa" w:w="185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Socket fan-out</w:t>
            </w:r>
          </w:p>
        </w:tc>
        <w:tc>
          <w:tcPr>
            <w:tcW w:type="dxa" w:w="392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Redis subscriber exists but end-to-end publish/delivery path is incomplete.</w:t>
            </w:r>
          </w:p>
        </w:tc>
        <w:tc>
          <w:tcPr>
            <w:tcW w:type="dxa" w:w="359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Outbox event → Redis/queue → authorized Socket.IO emission.</w:t>
            </w:r>
          </w:p>
        </w:tc>
      </w:tr>
    </w:tbl>
    <w:p>
      <w:pPr>
        <w:spacing w:after="20"/>
      </w:pPr>
    </w:p>
    <w:p>
      <w:pPr>
        <w:pStyle w:val="Heading2"/>
      </w:pPr>
      <w:r>
        <w:t>Container control-plane risk</w:t>
      </w:r>
    </w:p>
    <w:p>
      <w:pPr>
        <w:keepLines w:val="0"/>
      </w:pPr>
      <w:r>
        <w:rPr>
          <w:rFonts w:ascii="Calibri" w:hAnsi="Calibri" w:cs="Calibri"/>
          <w:b w:val="0"/>
          <w:i w:val="0"/>
        </w:rPr>
        <w:t>A service attempts to manage per-company Docker Compose deployments through Docker CLI/socket access. The database model it expects is absent, the migration is a SELECT 1 placeholder, and matching admin API endpoints were not found. Even if completed, Docker-socket access gives near-host-level control and should not live inside a general business API.</w:t>
      </w:r>
    </w:p>
    <w:p>
      <w:pPr>
        <w:keepLines/>
        <w:spacing w:before="100" w:after="200"/>
        <w:ind w:left="173" w:right="115"/>
        <w:shd w:fill="FDECEC"/>
        <w:pBdr>
          <w:left w:val="single" w:sz="20" w:space="8" w:color="9B1C1C"/>
        </w:pBdr>
      </w:pPr>
      <w:r>
        <w:rPr>
          <w:rFonts w:ascii="Calibri" w:hAnsi="Calibri" w:cs="Calibri"/>
          <w:b/>
          <w:color w:val="9B1C1C"/>
        </w:rPr>
        <w:t xml:space="preserve">Recommended decision  </w:t>
      </w:r>
      <w:r>
        <w:rPr>
          <w:rFonts w:ascii="Calibri" w:hAnsi="Calibri" w:cs="Calibri"/>
          <w:color w:val="101828"/>
        </w:rPr>
        <w:t>Disable and remove the feature from production scope. If per-tenant isolated runtimes are a genuine commercial requirement, build a separate, least-privileged deployment controller with an explicit reconciliation model, signed templates, network/storage policy, audit, quotas, and no direct exposure from tenant-facing requests.</w:t>
      </w:r>
    </w:p>
    <w:p>
      <w:pPr>
        <w:pStyle w:val="Heading2"/>
      </w:pPr>
      <w:r>
        <w:t>Performance strategy</w:t>
      </w:r>
    </w:p>
    <w:p>
      <w:pPr>
        <w:keepLines/>
        <w:numPr>
          <w:ilvl w:val="0"/>
          <w:numId w:val="10"/>
        </w:numPr>
        <w:spacing w:after="160" w:line="280" w:lineRule="auto"/>
      </w:pPr>
      <w:r>
        <w:rPr>
          <w:rFonts w:ascii="Calibri" w:hAnsi="Calibri" w:cs="Calibri"/>
        </w:rPr>
        <w:t>Measure before splitting: request latency by route, Prisma query count/duration, lock contention, cache hit rate, job lag, socket connections, and provider latency.</w:t>
      </w:r>
    </w:p>
    <w:p>
      <w:pPr>
        <w:keepLines/>
        <w:numPr>
          <w:ilvl w:val="0"/>
          <w:numId w:val="10"/>
        </w:numPr>
        <w:spacing w:after="160" w:line="280" w:lineRule="auto"/>
      </w:pPr>
      <w:r>
        <w:rPr>
          <w:rFonts w:ascii="Calibri" w:hAnsi="Calibri" w:cs="Calibri"/>
        </w:rPr>
        <w:t>Define service-level objectives for search, quote, reservation creation, payment confirmation, dashboard reads, and notification delivery.</w:t>
      </w:r>
    </w:p>
    <w:p>
      <w:pPr>
        <w:keepLines/>
        <w:numPr>
          <w:ilvl w:val="0"/>
          <w:numId w:val="10"/>
        </w:numPr>
        <w:spacing w:after="160" w:line="280" w:lineRule="auto"/>
      </w:pPr>
      <w:r>
        <w:rPr>
          <w:rFonts w:ascii="Calibri" w:hAnsi="Calibri" w:cs="Calibri"/>
        </w:rPr>
        <w:t>Use query plans and compound tenant/status/date indexes for fleet calendars, reservation lists, notifications, billing, and search.</w:t>
      </w:r>
    </w:p>
    <w:p>
      <w:pPr>
        <w:keepLines/>
        <w:numPr>
          <w:ilvl w:val="0"/>
          <w:numId w:val="10"/>
        </w:numPr>
        <w:spacing w:after="160" w:line="280" w:lineRule="auto"/>
      </w:pPr>
      <w:r>
        <w:rPr>
          <w:rFonts w:ascii="Calibri" w:hAnsi="Calibri" w:cs="Calibri"/>
        </w:rPr>
        <w:t>Load test realistic tenant skew: a few large fleets, many small tenants, concurrent date-range search, webhook bursts, and photo/document uploads.</w:t>
      </w:r>
    </w:p>
    <w:p>
      <w:pPr>
        <w:keepLines/>
        <w:numPr>
          <w:ilvl w:val="0"/>
          <w:numId w:val="10"/>
        </w:numPr>
        <w:spacing w:after="160" w:line="280" w:lineRule="auto"/>
      </w:pPr>
      <w:r>
        <w:rPr>
          <w:rFonts w:ascii="Calibri" w:hAnsi="Calibri" w:cs="Calibri"/>
        </w:rPr>
        <w:t>Extract services only when an independently scalable load pattern, compliance boundary, failure domain, or team ownership justifies the cost.</w:t>
      </w:r>
    </w:p>
    <w:p>
      <w:pPr>
        <w:pStyle w:val="Heading1"/>
      </w:pPr>
      <w:r>
        <w:t>14. Quality engineering and maintainability</w:t>
      </w:r>
    </w:p>
    <w:p>
      <w:pPr>
        <w:pStyle w:val="Heading2"/>
      </w:pPr>
      <w:r>
        <w:t>Test investment</w:t>
      </w:r>
    </w:p>
    <w:p>
      <w:pPr>
        <w:keepLines w:val="0"/>
      </w:pPr>
      <w:r>
        <w:rPr>
          <w:rFonts w:ascii="Calibri" w:hAnsi="Calibri" w:cs="Calibri"/>
          <w:b w:val="0"/>
          <w:i w:val="0"/>
        </w:rPr>
        <w:t>The source contains 266 test files and approximately 22,716 lines of test code. The API dominates with 185 test files; the frontends collectively include 81. This is meaningful evidence of engineering intent and domain validation. However, intent is not the same as a green, reproducible delivery gate.</w:t>
      </w:r>
    </w:p>
    <w:tbl>
      <w:tblPr>
        <w:tblW w:type="dxa" w:w="9360"/>
        <w:jc w:val="left"/>
        <w:tblLayout w:type="fixed"/>
        <w:tblLook w:firstColumn="1" w:firstRow="1" w:lastColumn="0" w:lastRow="0" w:noHBand="0" w:noVBand="1" w:val="04A0"/>
        <w:tblInd w:w="120" w:type="dxa"/>
        <w:tblBorders>
          <w:top w:val="single" w:sz="4" w:space="0" w:color="D0D5DD"/>
          <w:left w:val="single" w:sz="4" w:space="0" w:color="D0D5DD"/>
          <w:bottom w:val="single" w:sz="4" w:space="0" w:color="D0D5DD"/>
          <w:right w:val="single" w:sz="4" w:space="0" w:color="D0D5DD"/>
          <w:insideH w:val="single" w:sz="4" w:space="0" w:color="D0D5DD"/>
          <w:insideV w:val="single" w:sz="4" w:space="0" w:color="D0D5DD"/>
        </w:tblBorders>
      </w:tblPr>
      <w:tblGrid>
        <w:gridCol w:w="1600"/>
        <w:gridCol w:w="1000"/>
        <w:gridCol w:w="6760"/>
      </w:tblGrid>
      <w:tr>
        <w:trPr>
          <w:tblHeader w:val="true"/>
          <w:cantSplit/>
        </w:trPr>
        <w:tc>
          <w:tcPr>
            <w:tcW w:type="dxa" w:w="1600"/>
            <w:tcMar>
              <w:top w:w="80" w:type="dxa"/>
              <w:start w:w="120" w:type="dxa"/>
              <w:bottom w:w="80" w:type="dxa"/>
              <w:end w:w="120" w:type="dxa"/>
            </w:tcMar>
            <w:shd w:fill="F2F4F7"/>
            <w:vAlign w:val="center"/>
          </w:tcPr>
          <w:p>
            <w:pPr>
              <w:spacing w:before="0" w:after="0" w:line="252" w:lineRule="auto"/>
            </w:pPr>
            <w:r/>
            <w:r>
              <w:rPr>
                <w:rFonts w:ascii="Calibri" w:hAnsi="Calibri" w:cs="Calibri"/>
                <w:b/>
                <w:color w:val="0B2545"/>
                <w:sz w:val="17"/>
              </w:rPr>
              <w:t>Area</w:t>
            </w:r>
          </w:p>
        </w:tc>
        <w:tc>
          <w:tcPr>
            <w:tcW w:type="dxa" w:w="1000"/>
            <w:tcMar>
              <w:top w:w="80" w:type="dxa"/>
              <w:start w:w="120" w:type="dxa"/>
              <w:bottom w:w="80" w:type="dxa"/>
              <w:end w:w="120" w:type="dxa"/>
            </w:tcMar>
            <w:shd w:fill="F2F4F7"/>
            <w:vAlign w:val="center"/>
          </w:tcPr>
          <w:p>
            <w:pPr>
              <w:spacing w:before="0" w:after="0" w:line="252" w:lineRule="auto"/>
            </w:pPr>
            <w:r/>
            <w:r>
              <w:rPr>
                <w:rFonts w:ascii="Calibri" w:hAnsi="Calibri" w:cs="Calibri"/>
                <w:b/>
                <w:color w:val="0B2545"/>
                <w:sz w:val="17"/>
              </w:rPr>
              <w:t>Test files</w:t>
            </w:r>
          </w:p>
        </w:tc>
        <w:tc>
          <w:tcPr>
            <w:tcW w:type="dxa" w:w="6760"/>
            <w:tcMar>
              <w:top w:w="80" w:type="dxa"/>
              <w:start w:w="120" w:type="dxa"/>
              <w:bottom w:w="80" w:type="dxa"/>
              <w:end w:w="120" w:type="dxa"/>
            </w:tcMar>
            <w:shd w:fill="F2F4F7"/>
            <w:vAlign w:val="center"/>
          </w:tcPr>
          <w:p>
            <w:pPr>
              <w:spacing w:before="0" w:after="0" w:line="252" w:lineRule="auto"/>
            </w:pPr>
            <w:r/>
            <w:r>
              <w:rPr>
                <w:rFonts w:ascii="Calibri" w:hAnsi="Calibri" w:cs="Calibri"/>
                <w:b/>
                <w:color w:val="0B2545"/>
                <w:sz w:val="17"/>
              </w:rPr>
              <w:t>Controlled-run outcome</w:t>
            </w:r>
          </w:p>
        </w:tc>
      </w:tr>
      <w:tr>
        <w:trPr>
          <w:cantSplit/>
        </w:trPr>
        <w:tc>
          <w:tcPr>
            <w:tcW w:type="dxa" w:w="16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API</w:t>
            </w:r>
          </w:p>
        </w:tc>
        <w:tc>
          <w:tcPr>
            <w:tcW w:type="dxa" w:w="10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185</w:t>
            </w:r>
          </w:p>
        </w:tc>
        <w:tc>
          <w:tcPr>
            <w:tcW w:type="dxa" w:w="676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Not fully run because the shared types/base configuration path is incomplete.</w:t>
            </w:r>
          </w:p>
        </w:tc>
      </w:tr>
      <w:tr>
        <w:trPr>
          <w:cantSplit/>
        </w:trPr>
        <w:tc>
          <w:tcPr>
            <w:tcW w:type="dxa" w:w="16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Homepage</w:t>
            </w:r>
          </w:p>
        </w:tc>
        <w:tc>
          <w:tcPr>
            <w:tcW w:type="dxa" w:w="10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41</w:t>
            </w:r>
          </w:p>
        </w:tc>
        <w:tc>
          <w:tcPr>
            <w:tcW w:type="dxa" w:w="676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Multiple suites visibly passed; runner did not complete cleanly. Lint separately reported 3 errors and 4 warnings.</w:t>
            </w:r>
          </w:p>
        </w:tc>
      </w:tr>
      <w:tr>
        <w:trPr>
          <w:cantSplit/>
        </w:trPr>
        <w:tc>
          <w:tcPr>
            <w:tcW w:type="dxa" w:w="16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Dashboard</w:t>
            </w:r>
          </w:p>
        </w:tc>
        <w:tc>
          <w:tcPr>
            <w:tcW w:type="dxa" w:w="10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21</w:t>
            </w:r>
          </w:p>
        </w:tc>
        <w:tc>
          <w:tcPr>
            <w:tcW w:type="dxa" w:w="676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Multiple suites visibly passed; full runner did not terminate within the controlled run.</w:t>
            </w:r>
          </w:p>
        </w:tc>
      </w:tr>
      <w:tr>
        <w:trPr>
          <w:cantSplit/>
        </w:trPr>
        <w:tc>
          <w:tcPr>
            <w:tcW w:type="dxa" w:w="16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Carplace</w:t>
            </w:r>
          </w:p>
        </w:tc>
        <w:tc>
          <w:tcPr>
            <w:tcW w:type="dxa" w:w="10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12</w:t>
            </w:r>
          </w:p>
        </w:tc>
        <w:tc>
          <w:tcPr>
            <w:tcW w:type="dxa" w:w="676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Multiple suites visibly passed; full runner did not terminate within the controlled run.</w:t>
            </w:r>
          </w:p>
        </w:tc>
      </w:tr>
      <w:tr>
        <w:trPr>
          <w:cantSplit/>
        </w:trPr>
        <w:tc>
          <w:tcPr>
            <w:tcW w:type="dxa" w:w="16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Admin</w:t>
            </w:r>
          </w:p>
        </w:tc>
        <w:tc>
          <w:tcPr>
            <w:tcW w:type="dxa" w:w="10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7</w:t>
            </w:r>
          </w:p>
        </w:tc>
        <w:tc>
          <w:tcPr>
            <w:tcW w:type="dxa" w:w="676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Tests began and passed visible cases; serial run timed out after the first file.</w:t>
            </w:r>
          </w:p>
        </w:tc>
      </w:tr>
    </w:tbl>
    <w:p>
      <w:pPr>
        <w:spacing w:after="20"/>
      </w:pPr>
    </w:p>
    <w:p>
      <w:pPr>
        <w:pStyle w:val="Heading2"/>
      </w:pPr>
      <w:r>
        <w:t>Toolchain and dependency consistency</w:t>
      </w:r>
    </w:p>
    <w:p>
      <w:pPr>
        <w:keepLines w:val="0"/>
      </w:pPr>
      <w:r>
        <w:rPr>
          <w:rFonts w:ascii="Calibri" w:hAnsi="Calibri" w:cs="Calibri"/>
          <w:b w:val="0"/>
          <w:i w:val="0"/>
        </w:rPr>
        <w:t>The initial frontend test command could not load Rollup's platform-native optional package. Installing that package without saving allowed suites to start, but exposed broader version friction: the environment used a newer Node runtime than the project's declared minimum, Vitest is 2.1, and lucide-react declares a React peer range that does not include React 19. These are not necessarily product defects, but they demonstrate why CI must pin and publish the exact supported matrix.</w:t>
      </w:r>
    </w:p>
    <w:p>
      <w:pPr>
        <w:pStyle w:val="Heading2"/>
      </w:pPr>
      <w:r>
        <w:t>Maintainability strengths</w:t>
      </w:r>
    </w:p>
    <w:p>
      <w:pPr>
        <w:keepLines/>
        <w:numPr>
          <w:ilvl w:val="0"/>
          <w:numId w:val="10"/>
        </w:numPr>
        <w:spacing w:after="160" w:line="280" w:lineRule="auto"/>
      </w:pPr>
      <w:r>
        <w:rPr>
          <w:rFonts w:ascii="Calibri" w:hAnsi="Calibri" w:cs="Calibri"/>
        </w:rPr>
        <w:t>Clear audience separation across homepage, tenant, admin, marketplace, and API applications.</w:t>
      </w:r>
    </w:p>
    <w:p>
      <w:pPr>
        <w:keepLines/>
        <w:numPr>
          <w:ilvl w:val="0"/>
          <w:numId w:val="10"/>
        </w:numPr>
        <w:spacing w:after="160" w:line="280" w:lineRule="auto"/>
      </w:pPr>
      <w:r>
        <w:rPr>
          <w:rFonts w:ascii="Calibri" w:hAnsi="Calibri" w:cs="Calibri"/>
        </w:rPr>
        <w:t>Domain-oriented API modules with validation/service/repository layers.</w:t>
      </w:r>
    </w:p>
    <w:p>
      <w:pPr>
        <w:keepLines/>
        <w:numPr>
          <w:ilvl w:val="0"/>
          <w:numId w:val="10"/>
        </w:numPr>
        <w:spacing w:after="160" w:line="280" w:lineRule="auto"/>
      </w:pPr>
      <w:r>
        <w:rPr>
          <w:rFonts w:ascii="Calibri" w:hAnsi="Calibri" w:cs="Calibri"/>
        </w:rPr>
        <w:t>Shared types package and substantial database migrations.</w:t>
      </w:r>
    </w:p>
    <w:p>
      <w:pPr>
        <w:keepLines/>
        <w:numPr>
          <w:ilvl w:val="0"/>
          <w:numId w:val="10"/>
        </w:numPr>
        <w:spacing w:after="160" w:line="280" w:lineRule="auto"/>
      </w:pPr>
      <w:r>
        <w:rPr>
          <w:rFonts w:ascii="Calibri" w:hAnsi="Calibri" w:cs="Calibri"/>
        </w:rPr>
        <w:t>Central error/request-ID handling and consistent tenant middleware concepts.</w:t>
      </w:r>
    </w:p>
    <w:p>
      <w:pPr>
        <w:keepLines/>
        <w:numPr>
          <w:ilvl w:val="0"/>
          <w:numId w:val="10"/>
        </w:numPr>
        <w:spacing w:after="160" w:line="280" w:lineRule="auto"/>
      </w:pPr>
      <w:r>
        <w:rPr>
          <w:rFonts w:ascii="Calibri" w:hAnsi="Calibri" w:cs="Calibri"/>
        </w:rPr>
        <w:t>Extensive test source, including security-relevant route and middleware cases.</w:t>
      </w:r>
    </w:p>
    <w:p>
      <w:pPr>
        <w:pStyle w:val="Heading2"/>
      </w:pPr>
      <w:r>
        <w:t>Maintainability risks</w:t>
      </w:r>
    </w:p>
    <w:p>
      <w:pPr>
        <w:keepLines/>
        <w:numPr>
          <w:ilvl w:val="0"/>
          <w:numId w:val="10"/>
        </w:numPr>
        <w:spacing w:after="160" w:line="280" w:lineRule="auto"/>
      </w:pPr>
      <w:r>
        <w:rPr>
          <w:rFonts w:ascii="Calibri" w:hAnsi="Calibri" w:cs="Calibri"/>
        </w:rPr>
        <w:t>Missing root build configuration and scripts make the repository's declared interface unreliable.</w:t>
      </w:r>
    </w:p>
    <w:p>
      <w:pPr>
        <w:keepLines/>
        <w:numPr>
          <w:ilvl w:val="0"/>
          <w:numId w:val="10"/>
        </w:numPr>
        <w:spacing w:after="160" w:line="280" w:lineRule="auto"/>
      </w:pPr>
      <w:r>
        <w:rPr>
          <w:rFonts w:ascii="Calibri" w:hAnsi="Calibri" w:cs="Calibri"/>
        </w:rPr>
        <w:t>Manual OpenAPI, duplicated frontend clients, separate UI systems, and repeated dependencies invite drift.</w:t>
      </w:r>
    </w:p>
    <w:p>
      <w:pPr>
        <w:keepLines/>
        <w:numPr>
          <w:ilvl w:val="0"/>
          <w:numId w:val="10"/>
        </w:numPr>
        <w:spacing w:after="160" w:line="280" w:lineRule="auto"/>
      </w:pPr>
      <w:r>
        <w:rPr>
          <w:rFonts w:ascii="Calibri" w:hAnsi="Calibri" w:cs="Calibri"/>
        </w:rPr>
        <w:t>Large page-level client components combine view, network, state, and business orchestration.</w:t>
      </w:r>
    </w:p>
    <w:p>
      <w:pPr>
        <w:keepLines/>
        <w:numPr>
          <w:ilvl w:val="0"/>
          <w:numId w:val="10"/>
        </w:numPr>
        <w:spacing w:after="160" w:line="280" w:lineRule="auto"/>
      </w:pPr>
      <w:r>
        <w:rPr>
          <w:rFonts w:ascii="Calibri" w:hAnsi="Calibri" w:cs="Calibri"/>
        </w:rPr>
        <w:t>Legacy/new billing and notification models create multiple conceptual sources of truth.</w:t>
      </w:r>
    </w:p>
    <w:p>
      <w:pPr>
        <w:keepLines/>
        <w:numPr>
          <w:ilvl w:val="0"/>
          <w:numId w:val="10"/>
        </w:numPr>
        <w:spacing w:after="160" w:line="280" w:lineRule="auto"/>
      </w:pPr>
      <w:r>
        <w:rPr>
          <w:rFonts w:ascii="Calibri" w:hAnsi="Calibri" w:cs="Calibri"/>
        </w:rPr>
        <w:t>Stale README versions and ghost UI features weaken confidence in documentation and release scope.</w:t>
      </w:r>
    </w:p>
    <w:p>
      <w:pPr>
        <w:pStyle w:val="Heading2"/>
      </w:pPr>
      <w:r>
        <w:t>Recommended engineering quality gate</w:t>
      </w:r>
    </w:p>
    <w:tbl>
      <w:tblPr>
        <w:tblW w:type="dxa" w:w="9360"/>
        <w:jc w:val="left"/>
        <w:tblLayout w:type="fixed"/>
        <w:tblLook w:firstColumn="1" w:firstRow="1" w:lastColumn="0" w:lastRow="0" w:noHBand="0" w:noVBand="1" w:val="04A0"/>
        <w:tblInd w:w="120" w:type="dxa"/>
        <w:tblBorders>
          <w:top w:val="single" w:sz="4" w:space="0" w:color="D0D5DD"/>
          <w:left w:val="single" w:sz="4" w:space="0" w:color="D0D5DD"/>
          <w:bottom w:val="single" w:sz="4" w:space="0" w:color="D0D5DD"/>
          <w:right w:val="single" w:sz="4" w:space="0" w:color="D0D5DD"/>
          <w:insideH w:val="single" w:sz="4" w:space="0" w:color="D0D5DD"/>
          <w:insideV w:val="single" w:sz="4" w:space="0" w:color="D0D5DD"/>
        </w:tblBorders>
      </w:tblPr>
      <w:tblGrid>
        <w:gridCol w:w="1300"/>
        <w:gridCol w:w="3960"/>
        <w:gridCol w:w="4100"/>
      </w:tblGrid>
      <w:tr>
        <w:trPr>
          <w:tblHeader w:val="true"/>
          <w:cantSplit/>
        </w:trPr>
        <w:tc>
          <w:tcPr>
            <w:tcW w:type="dxa" w:w="1300"/>
            <w:tcMar>
              <w:top w:w="80" w:type="dxa"/>
              <w:start w:w="120" w:type="dxa"/>
              <w:bottom w:w="80" w:type="dxa"/>
              <w:end w:w="120" w:type="dxa"/>
            </w:tcMar>
            <w:shd w:fill="F2F4F7"/>
            <w:vAlign w:val="center"/>
          </w:tcPr>
          <w:p>
            <w:pPr>
              <w:spacing w:before="0" w:after="0" w:line="252" w:lineRule="auto"/>
            </w:pPr>
            <w:r/>
            <w:r>
              <w:rPr>
                <w:rFonts w:ascii="Calibri" w:hAnsi="Calibri" w:cs="Calibri"/>
                <w:b/>
                <w:color w:val="0B2545"/>
                <w:sz w:val="17"/>
              </w:rPr>
              <w:t>Gate</w:t>
            </w:r>
          </w:p>
        </w:tc>
        <w:tc>
          <w:tcPr>
            <w:tcW w:type="dxa" w:w="3960"/>
            <w:tcMar>
              <w:top w:w="80" w:type="dxa"/>
              <w:start w:w="120" w:type="dxa"/>
              <w:bottom w:w="80" w:type="dxa"/>
              <w:end w:w="120" w:type="dxa"/>
            </w:tcMar>
            <w:shd w:fill="F2F4F7"/>
            <w:vAlign w:val="center"/>
          </w:tcPr>
          <w:p>
            <w:pPr>
              <w:spacing w:before="0" w:after="0" w:line="252" w:lineRule="auto"/>
            </w:pPr>
            <w:r/>
            <w:r>
              <w:rPr>
                <w:rFonts w:ascii="Calibri" w:hAnsi="Calibri" w:cs="Calibri"/>
                <w:b/>
                <w:color w:val="0B2545"/>
                <w:sz w:val="17"/>
              </w:rPr>
              <w:t>Execution</w:t>
            </w:r>
          </w:p>
        </w:tc>
        <w:tc>
          <w:tcPr>
            <w:tcW w:type="dxa" w:w="4100"/>
            <w:tcMar>
              <w:top w:w="80" w:type="dxa"/>
              <w:start w:w="120" w:type="dxa"/>
              <w:bottom w:w="80" w:type="dxa"/>
              <w:end w:w="120" w:type="dxa"/>
            </w:tcMar>
            <w:shd w:fill="F2F4F7"/>
            <w:vAlign w:val="center"/>
          </w:tcPr>
          <w:p>
            <w:pPr>
              <w:spacing w:before="0" w:after="0" w:line="252" w:lineRule="auto"/>
            </w:pPr>
            <w:r/>
            <w:r>
              <w:rPr>
                <w:rFonts w:ascii="Calibri" w:hAnsi="Calibri" w:cs="Calibri"/>
                <w:b/>
                <w:color w:val="0B2545"/>
                <w:sz w:val="17"/>
              </w:rPr>
              <w:t>Exit criterion</w:t>
            </w:r>
          </w:p>
        </w:tc>
      </w:tr>
      <w:tr>
        <w:trPr>
          <w:cantSplit/>
        </w:trPr>
        <w:tc>
          <w:tcPr>
            <w:tcW w:type="dxa" w:w="13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Install</w:t>
            </w:r>
          </w:p>
        </w:tc>
        <w:tc>
          <w:tcPr>
            <w:tcW w:type="dxa" w:w="396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npm ci from clean cache on pinned Node/npm</w:t>
            </w:r>
          </w:p>
        </w:tc>
        <w:tc>
          <w:tcPr>
            <w:tcW w:type="dxa" w:w="41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No lock modification; SBOM produced</w:t>
            </w:r>
          </w:p>
        </w:tc>
      </w:tr>
      <w:tr>
        <w:trPr>
          <w:cantSplit/>
        </w:trPr>
        <w:tc>
          <w:tcPr>
            <w:tcW w:type="dxa" w:w="13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Generate</w:t>
            </w:r>
          </w:p>
        </w:tc>
        <w:tc>
          <w:tcPr>
            <w:tcW w:type="dxa" w:w="396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Prisma + shared types</w:t>
            </w:r>
          </w:p>
        </w:tc>
        <w:tc>
          <w:tcPr>
            <w:tcW w:type="dxa" w:w="41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No uncommitted generated drift</w:t>
            </w:r>
          </w:p>
        </w:tc>
      </w:tr>
      <w:tr>
        <w:trPr>
          <w:cantSplit/>
        </w:trPr>
        <w:tc>
          <w:tcPr>
            <w:tcW w:type="dxa" w:w="13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Static</w:t>
            </w:r>
          </w:p>
        </w:tc>
        <w:tc>
          <w:tcPr>
            <w:tcW w:type="dxa" w:w="396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Format, lint, type-check, secret/SAST/SCA scans</w:t>
            </w:r>
          </w:p>
        </w:tc>
        <w:tc>
          <w:tcPr>
            <w:tcW w:type="dxa" w:w="41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Zero errors; vulnerability policy enforced</w:t>
            </w:r>
          </w:p>
        </w:tc>
      </w:tr>
      <w:tr>
        <w:trPr>
          <w:cantSplit/>
        </w:trPr>
        <w:tc>
          <w:tcPr>
            <w:tcW w:type="dxa" w:w="13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Test</w:t>
            </w:r>
          </w:p>
        </w:tc>
        <w:tc>
          <w:tcPr>
            <w:tcW w:type="dxa" w:w="396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Unit, integration, API, browser accessibility</w:t>
            </w:r>
          </w:p>
        </w:tc>
        <w:tc>
          <w:tcPr>
            <w:tcW w:type="dxa" w:w="41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Deterministic completion; coverage and critical-path thresholds</w:t>
            </w:r>
          </w:p>
        </w:tc>
      </w:tr>
      <w:tr>
        <w:trPr>
          <w:cantSplit/>
        </w:trPr>
        <w:tc>
          <w:tcPr>
            <w:tcW w:type="dxa" w:w="13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Build</w:t>
            </w:r>
          </w:p>
        </w:tc>
        <w:tc>
          <w:tcPr>
            <w:tcW w:type="dxa" w:w="396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All apps and API</w:t>
            </w:r>
          </w:p>
        </w:tc>
        <w:tc>
          <w:tcPr>
            <w:tcW w:type="dxa" w:w="41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Immutable versioned artifacts; size and source-map policy</w:t>
            </w:r>
          </w:p>
        </w:tc>
      </w:tr>
      <w:tr>
        <w:trPr>
          <w:cantSplit/>
        </w:trPr>
        <w:tc>
          <w:tcPr>
            <w:tcW w:type="dxa" w:w="13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Database</w:t>
            </w:r>
          </w:p>
        </w:tc>
        <w:tc>
          <w:tcPr>
            <w:tcW w:type="dxa" w:w="396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Migration on empty and previous-release database</w:t>
            </w:r>
          </w:p>
        </w:tc>
        <w:tc>
          <w:tcPr>
            <w:tcW w:type="dxa" w:w="41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Backward-compatible, backup and rollback/roll-forward evidence</w:t>
            </w:r>
          </w:p>
        </w:tc>
      </w:tr>
      <w:tr>
        <w:trPr>
          <w:cantSplit/>
        </w:trPr>
        <w:tc>
          <w:tcPr>
            <w:tcW w:type="dxa" w:w="13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Deploy</w:t>
            </w:r>
          </w:p>
        </w:tc>
        <w:tc>
          <w:tcPr>
            <w:tcW w:type="dxa" w:w="396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Ephemeral environment smoke</w:t>
            </w:r>
          </w:p>
        </w:tc>
        <w:tc>
          <w:tcPr>
            <w:tcW w:type="dxa" w:w="41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Health/readiness, auth, booking, payment test webhook, document access</w:t>
            </w:r>
          </w:p>
        </w:tc>
      </w:tr>
    </w:tbl>
    <w:p>
      <w:pPr>
        <w:spacing w:after="20"/>
      </w:pPr>
    </w:p>
    <w:p>
      <w:pPr>
        <w:pStyle w:val="Heading1"/>
      </w:pPr>
      <w:r>
        <w:t>15. Consolidated risk register</w:t>
      </w:r>
    </w:p>
    <w:p>
      <w:pPr>
        <w:keepLines w:val="0"/>
      </w:pPr>
      <w:r>
        <w:rPr>
          <w:rFonts w:ascii="Calibri" w:hAnsi="Calibri" w:cs="Calibri"/>
          <w:b w:val="0"/>
          <w:i w:val="0"/>
        </w:rPr>
        <w:t>Priorities combine business impact, exploitability/likelihood, and the extent to which the issue blocks independent diligence. P0 items block a production-readiness claim; P1 items block safe scale or reliable operations; P2 items should be scheduled after the production foundation.</w:t>
      </w:r>
    </w:p>
    <w:tbl>
      <w:tblPr>
        <w:tblW w:type="dxa" w:w="9360"/>
        <w:jc w:val="left"/>
        <w:tblLayout w:type="fixed"/>
        <w:tblLook w:firstColumn="1" w:firstRow="1" w:lastColumn="0" w:lastRow="0" w:noHBand="0" w:noVBand="1" w:val="04A0"/>
        <w:tblInd w:w="120" w:type="dxa"/>
        <w:tblBorders>
          <w:top w:val="single" w:sz="4" w:space="0" w:color="D0D5DD"/>
          <w:left w:val="single" w:sz="4" w:space="0" w:color="D0D5DD"/>
          <w:bottom w:val="single" w:sz="4" w:space="0" w:color="D0D5DD"/>
          <w:right w:val="single" w:sz="4" w:space="0" w:color="D0D5DD"/>
          <w:insideH w:val="single" w:sz="4" w:space="0" w:color="D0D5DD"/>
          <w:insideV w:val="single" w:sz="4" w:space="0" w:color="D0D5DD"/>
        </w:tblBorders>
      </w:tblPr>
      <w:tblGrid>
        <w:gridCol w:w="900"/>
        <w:gridCol w:w="1850"/>
        <w:gridCol w:w="3650"/>
        <w:gridCol w:w="2960"/>
      </w:tblGrid>
      <w:tr>
        <w:trPr>
          <w:tblHeader w:val="true"/>
          <w:cantSplit/>
        </w:trPr>
        <w:tc>
          <w:tcPr>
            <w:tcW w:type="dxa" w:w="900"/>
            <w:tcMar>
              <w:top w:w="80" w:type="dxa"/>
              <w:start w:w="120" w:type="dxa"/>
              <w:bottom w:w="80" w:type="dxa"/>
              <w:end w:w="120" w:type="dxa"/>
            </w:tcMar>
            <w:shd w:fill="F2F4F7"/>
            <w:vAlign w:val="center"/>
          </w:tcPr>
          <w:p>
            <w:pPr>
              <w:spacing w:before="0" w:after="0" w:line="252" w:lineRule="auto"/>
            </w:pPr>
            <w:r/>
            <w:r>
              <w:rPr>
                <w:rFonts w:ascii="Calibri" w:hAnsi="Calibri" w:cs="Calibri"/>
                <w:b/>
                <w:color w:val="0B2545"/>
                <w:sz w:val="16"/>
              </w:rPr>
              <w:t>ID</w:t>
            </w:r>
          </w:p>
        </w:tc>
        <w:tc>
          <w:tcPr>
            <w:tcW w:type="dxa" w:w="1850"/>
            <w:tcMar>
              <w:top w:w="80" w:type="dxa"/>
              <w:start w:w="120" w:type="dxa"/>
              <w:bottom w:w="80" w:type="dxa"/>
              <w:end w:w="120" w:type="dxa"/>
            </w:tcMar>
            <w:shd w:fill="F2F4F7"/>
            <w:vAlign w:val="center"/>
          </w:tcPr>
          <w:p>
            <w:pPr>
              <w:spacing w:before="0" w:after="0" w:line="252" w:lineRule="auto"/>
            </w:pPr>
            <w:r/>
            <w:r>
              <w:rPr>
                <w:rFonts w:ascii="Calibri" w:hAnsi="Calibri" w:cs="Calibri"/>
                <w:b/>
                <w:color w:val="0B2545"/>
                <w:sz w:val="16"/>
              </w:rPr>
              <w:t>Risk</w:t>
            </w:r>
          </w:p>
        </w:tc>
        <w:tc>
          <w:tcPr>
            <w:tcW w:type="dxa" w:w="3650"/>
            <w:tcMar>
              <w:top w:w="80" w:type="dxa"/>
              <w:start w:w="120" w:type="dxa"/>
              <w:bottom w:w="80" w:type="dxa"/>
              <w:end w:w="120" w:type="dxa"/>
            </w:tcMar>
            <w:shd w:fill="F2F4F7"/>
            <w:vAlign w:val="center"/>
          </w:tcPr>
          <w:p>
            <w:pPr>
              <w:spacing w:before="0" w:after="0" w:line="252" w:lineRule="auto"/>
            </w:pPr>
            <w:r/>
            <w:r>
              <w:rPr>
                <w:rFonts w:ascii="Calibri" w:hAnsi="Calibri" w:cs="Calibri"/>
                <w:b/>
                <w:color w:val="0B2545"/>
                <w:sz w:val="16"/>
              </w:rPr>
              <w:t>Evidence / impact</w:t>
            </w:r>
          </w:p>
        </w:tc>
        <w:tc>
          <w:tcPr>
            <w:tcW w:type="dxa" w:w="2960"/>
            <w:tcMar>
              <w:top w:w="80" w:type="dxa"/>
              <w:start w:w="120" w:type="dxa"/>
              <w:bottom w:w="80" w:type="dxa"/>
              <w:end w:w="120" w:type="dxa"/>
            </w:tcMar>
            <w:shd w:fill="F2F4F7"/>
            <w:vAlign w:val="center"/>
          </w:tcPr>
          <w:p>
            <w:pPr>
              <w:spacing w:before="0" w:after="0" w:line="252" w:lineRule="auto"/>
            </w:pPr>
            <w:r/>
            <w:r>
              <w:rPr>
                <w:rFonts w:ascii="Calibri" w:hAnsi="Calibri" w:cs="Calibri"/>
                <w:b/>
                <w:color w:val="0B2545"/>
                <w:sz w:val="16"/>
              </w:rPr>
              <w:t>Required action</w:t>
            </w:r>
          </w:p>
        </w:tc>
      </w:tr>
      <w:tr>
        <w:trPr>
          <w:cantSplit/>
        </w:trPr>
        <w:tc>
          <w:tcPr>
            <w:tcW w:type="dxa" w:w="900"/>
            <w:shd w:fill="FDECEC"/>
            <w:vAlign w:val="center"/>
            <w:tcMar>
              <w:top w:w="80" w:type="dxa"/>
              <w:start w:w="120" w:type="dxa"/>
              <w:bottom w:w="80" w:type="dxa"/>
              <w:end w:w="120" w:type="dxa"/>
            </w:tcMar>
          </w:tcPr>
          <w:p>
            <w:pPr>
              <w:spacing w:before="0" w:after="0" w:line="252" w:lineRule="auto"/>
            </w:pPr>
            <w:r/>
            <w:r>
              <w:rPr>
                <w:rFonts w:ascii="Calibri" w:hAnsi="Calibri" w:cs="Calibri"/>
                <w:b w:val="0"/>
                <w:color w:val="101828"/>
                <w:sz w:val="16"/>
              </w:rPr>
              <w:t>R1 • P0</w:t>
            </w:r>
          </w:p>
        </w:tc>
        <w:tc>
          <w:tcPr>
            <w:tcW w:type="dxa" w:w="1850"/>
            <w:shd w:fill="FDECEC"/>
            <w:vAlign w:val="center"/>
            <w:tcMar>
              <w:top w:w="80" w:type="dxa"/>
              <w:start w:w="120" w:type="dxa"/>
              <w:bottom w:w="80" w:type="dxa"/>
              <w:end w:w="120" w:type="dxa"/>
            </w:tcMar>
          </w:tcPr>
          <w:p>
            <w:pPr>
              <w:spacing w:before="0" w:after="0" w:line="252" w:lineRule="auto"/>
            </w:pPr>
            <w:r/>
            <w:r>
              <w:rPr>
                <w:rFonts w:ascii="Calibri" w:hAnsi="Calibri" w:cs="Calibri"/>
                <w:b w:val="0"/>
                <w:color w:val="101828"/>
                <w:sz w:val="16"/>
              </w:rPr>
              <w:t>Unreproducible source package</w:t>
            </w:r>
          </w:p>
        </w:tc>
        <w:tc>
          <w:tcPr>
            <w:tcW w:type="dxa" w:w="3650"/>
            <w:shd w:fill="FDECEC"/>
            <w:vAlign w:val="center"/>
            <w:tcMar>
              <w:top w:w="80" w:type="dxa"/>
              <w:start w:w="120" w:type="dxa"/>
              <w:bottom w:w="80" w:type="dxa"/>
              <w:end w:w="120" w:type="dxa"/>
            </w:tcMar>
          </w:tcPr>
          <w:p>
            <w:pPr>
              <w:spacing w:before="0" w:after="0" w:line="252" w:lineRule="auto"/>
            </w:pPr>
            <w:r/>
            <w:r>
              <w:rPr>
                <w:rFonts w:ascii="Calibri" w:hAnsi="Calibri" w:cs="Calibri"/>
                <w:b w:val="0"/>
                <w:color w:val="101828"/>
                <w:sz w:val="16"/>
              </w:rPr>
              <w:t>Missing Turbo/base TS/scripts/Compose prevents clean build, test, deploy, backup, and restore evidence.</w:t>
            </w:r>
          </w:p>
        </w:tc>
        <w:tc>
          <w:tcPr>
            <w:tcW w:type="dxa" w:w="2960"/>
            <w:shd w:fill="FDECEC"/>
            <w:vAlign w:val="center"/>
            <w:tcMar>
              <w:top w:w="80" w:type="dxa"/>
              <w:start w:w="120" w:type="dxa"/>
              <w:bottom w:w="80" w:type="dxa"/>
              <w:end w:w="120" w:type="dxa"/>
            </w:tcMar>
          </w:tcPr>
          <w:p>
            <w:pPr>
              <w:spacing w:before="0" w:after="0" w:line="252" w:lineRule="auto"/>
            </w:pPr>
            <w:r/>
            <w:r>
              <w:rPr>
                <w:rFonts w:ascii="Calibri" w:hAnsi="Calibri" w:cs="Calibri"/>
                <w:b w:val="0"/>
                <w:color w:val="101828"/>
                <w:sz w:val="16"/>
              </w:rPr>
              <w:t>Restore complete repo; clean-run CI; signed release attestation.</w:t>
            </w:r>
          </w:p>
        </w:tc>
      </w:tr>
      <w:tr>
        <w:trPr>
          <w:cantSplit/>
        </w:trPr>
        <w:tc>
          <w:tcPr>
            <w:tcW w:type="dxa" w:w="900"/>
            <w:shd w:fill="FDECEC"/>
            <w:vAlign w:val="center"/>
            <w:tcMar>
              <w:top w:w="80" w:type="dxa"/>
              <w:start w:w="120" w:type="dxa"/>
              <w:bottom w:w="80" w:type="dxa"/>
              <w:end w:w="120" w:type="dxa"/>
            </w:tcMar>
          </w:tcPr>
          <w:p>
            <w:pPr>
              <w:spacing w:before="0" w:after="0" w:line="252" w:lineRule="auto"/>
            </w:pPr>
            <w:r/>
            <w:r>
              <w:rPr>
                <w:rFonts w:ascii="Calibri" w:hAnsi="Calibri" w:cs="Calibri"/>
                <w:b w:val="0"/>
                <w:color w:val="101828"/>
                <w:sz w:val="16"/>
              </w:rPr>
              <w:t>R2 • P0</w:t>
            </w:r>
          </w:p>
        </w:tc>
        <w:tc>
          <w:tcPr>
            <w:tcW w:type="dxa" w:w="1850"/>
            <w:shd w:fill="FDECEC"/>
            <w:vAlign w:val="center"/>
            <w:tcMar>
              <w:top w:w="80" w:type="dxa"/>
              <w:start w:w="120" w:type="dxa"/>
              <w:bottom w:w="80" w:type="dxa"/>
              <w:end w:w="120" w:type="dxa"/>
            </w:tcMar>
          </w:tcPr>
          <w:p>
            <w:pPr>
              <w:spacing w:before="0" w:after="0" w:line="252" w:lineRule="auto"/>
            </w:pPr>
            <w:r/>
            <w:r>
              <w:rPr>
                <w:rFonts w:ascii="Calibri" w:hAnsi="Calibri" w:cs="Calibri"/>
                <w:b w:val="0"/>
                <w:color w:val="101828"/>
                <w:sz w:val="16"/>
              </w:rPr>
              <w:t>Known dependency vulnerabilities</w:t>
            </w:r>
          </w:p>
        </w:tc>
        <w:tc>
          <w:tcPr>
            <w:tcW w:type="dxa" w:w="3650"/>
            <w:shd w:fill="FDECEC"/>
            <w:vAlign w:val="center"/>
            <w:tcMar>
              <w:top w:w="80" w:type="dxa"/>
              <w:start w:w="120" w:type="dxa"/>
              <w:bottom w:w="80" w:type="dxa"/>
              <w:end w:w="120" w:type="dxa"/>
            </w:tcMar>
          </w:tcPr>
          <w:p>
            <w:pPr>
              <w:spacing w:before="0" w:after="0" w:line="252" w:lineRule="auto"/>
            </w:pPr>
            <w:r/>
            <w:r>
              <w:rPr>
                <w:rFonts w:ascii="Calibri" w:hAnsi="Calibri" w:cs="Calibri"/>
                <w:b w:val="0"/>
                <w:color w:val="101828"/>
                <w:sz w:val="16"/>
              </w:rPr>
              <w:t>21 production findings, including 1 critical and 14 high, create immediate security and diligence exposure.</w:t>
            </w:r>
          </w:p>
        </w:tc>
        <w:tc>
          <w:tcPr>
            <w:tcW w:type="dxa" w:w="2960"/>
            <w:shd w:fill="FDECEC"/>
            <w:vAlign w:val="center"/>
            <w:tcMar>
              <w:top w:w="80" w:type="dxa"/>
              <w:start w:w="120" w:type="dxa"/>
              <w:bottom w:w="80" w:type="dxa"/>
              <w:end w:w="120" w:type="dxa"/>
            </w:tcMar>
          </w:tcPr>
          <w:p>
            <w:pPr>
              <w:spacing w:before="0" w:after="0" w:line="252" w:lineRule="auto"/>
            </w:pPr>
            <w:r/>
            <w:r>
              <w:rPr>
                <w:rFonts w:ascii="Calibri" w:hAnsi="Calibri" w:cs="Calibri"/>
                <w:b w:val="0"/>
                <w:color w:val="101828"/>
                <w:sz w:val="16"/>
              </w:rPr>
              <w:t>Remove unused packages; upgrade/patch; enforce SCA policy in CI.</w:t>
            </w:r>
          </w:p>
        </w:tc>
      </w:tr>
      <w:tr>
        <w:trPr>
          <w:cantSplit/>
        </w:trPr>
        <w:tc>
          <w:tcPr>
            <w:tcW w:type="dxa" w:w="900"/>
            <w:shd w:fill="FDECEC"/>
            <w:vAlign w:val="center"/>
            <w:tcMar>
              <w:top w:w="80" w:type="dxa"/>
              <w:start w:w="120" w:type="dxa"/>
              <w:bottom w:w="80" w:type="dxa"/>
              <w:end w:w="120" w:type="dxa"/>
            </w:tcMar>
          </w:tcPr>
          <w:p>
            <w:pPr>
              <w:spacing w:before="0" w:after="0" w:line="252" w:lineRule="auto"/>
            </w:pPr>
            <w:r/>
            <w:r>
              <w:rPr>
                <w:rFonts w:ascii="Calibri" w:hAnsi="Calibri" w:cs="Calibri"/>
                <w:b w:val="0"/>
                <w:color w:val="101828"/>
                <w:sz w:val="16"/>
              </w:rPr>
              <w:t>R3 • P0</w:t>
            </w:r>
          </w:p>
        </w:tc>
        <w:tc>
          <w:tcPr>
            <w:tcW w:type="dxa" w:w="1850"/>
            <w:shd w:fill="FDECEC"/>
            <w:vAlign w:val="center"/>
            <w:tcMar>
              <w:top w:w="80" w:type="dxa"/>
              <w:start w:w="120" w:type="dxa"/>
              <w:bottom w:w="80" w:type="dxa"/>
              <w:end w:w="120" w:type="dxa"/>
            </w:tcMar>
          </w:tcPr>
          <w:p>
            <w:pPr>
              <w:spacing w:before="0" w:after="0" w:line="252" w:lineRule="auto"/>
            </w:pPr>
            <w:r/>
            <w:r>
              <w:rPr>
                <w:rFonts w:ascii="Calibri" w:hAnsi="Calibri" w:cs="Calibri"/>
                <w:b w:val="0"/>
                <w:color w:val="101828"/>
                <w:sz w:val="16"/>
              </w:rPr>
              <w:t>Broken privileged container feature</w:t>
            </w:r>
          </w:p>
        </w:tc>
        <w:tc>
          <w:tcPr>
            <w:tcW w:type="dxa" w:w="3650"/>
            <w:shd w:fill="FDECEC"/>
            <w:vAlign w:val="center"/>
            <w:tcMar>
              <w:top w:w="80" w:type="dxa"/>
              <w:start w:w="120" w:type="dxa"/>
              <w:bottom w:w="80" w:type="dxa"/>
              <w:end w:w="120" w:type="dxa"/>
            </w:tcMar>
          </w:tcPr>
          <w:p>
            <w:pPr>
              <w:spacing w:before="0" w:after="0" w:line="252" w:lineRule="auto"/>
            </w:pPr>
            <w:r/>
            <w:r>
              <w:rPr>
                <w:rFonts w:ascii="Calibri" w:hAnsi="Calibri" w:cs="Calibri"/>
                <w:b w:val="0"/>
                <w:color w:val="101828"/>
                <w:sz w:val="16"/>
              </w:rPr>
              <w:t>UI/service imply per-company Docker management, but required model/routes are absent; Docker socket is high privilege.</w:t>
            </w:r>
          </w:p>
        </w:tc>
        <w:tc>
          <w:tcPr>
            <w:tcW w:type="dxa" w:w="2960"/>
            <w:shd w:fill="FDECEC"/>
            <w:vAlign w:val="center"/>
            <w:tcMar>
              <w:top w:w="80" w:type="dxa"/>
              <w:start w:w="120" w:type="dxa"/>
              <w:bottom w:w="80" w:type="dxa"/>
              <w:end w:w="120" w:type="dxa"/>
            </w:tcMar>
          </w:tcPr>
          <w:p>
            <w:pPr>
              <w:spacing w:before="0" w:after="0" w:line="252" w:lineRule="auto"/>
            </w:pPr>
            <w:r/>
            <w:r>
              <w:rPr>
                <w:rFonts w:ascii="Calibri" w:hAnsi="Calibri" w:cs="Calibri"/>
                <w:b w:val="0"/>
                <w:color w:val="101828"/>
                <w:sz w:val="16"/>
              </w:rPr>
              <w:t>Disable/remove; only rebuild as isolated control plane if required.</w:t>
            </w:r>
          </w:p>
        </w:tc>
      </w:tr>
      <w:tr>
        <w:trPr>
          <w:cantSplit/>
        </w:trPr>
        <w:tc>
          <w:tcPr>
            <w:tcW w:type="dxa" w:w="900"/>
            <w:shd w:fill="FFF6D8"/>
            <w:vAlign w:val="center"/>
            <w:tcMar>
              <w:top w:w="80" w:type="dxa"/>
              <w:start w:w="120" w:type="dxa"/>
              <w:bottom w:w="80" w:type="dxa"/>
              <w:end w:w="120" w:type="dxa"/>
            </w:tcMar>
          </w:tcPr>
          <w:p>
            <w:pPr>
              <w:spacing w:before="0" w:after="0" w:line="252" w:lineRule="auto"/>
            </w:pPr>
            <w:r/>
            <w:r>
              <w:rPr>
                <w:rFonts w:ascii="Calibri" w:hAnsi="Calibri" w:cs="Calibri"/>
                <w:b w:val="0"/>
                <w:color w:val="101828"/>
                <w:sz w:val="16"/>
              </w:rPr>
              <w:t>R4 • P1</w:t>
            </w:r>
          </w:p>
        </w:tc>
        <w:tc>
          <w:tcPr>
            <w:tcW w:type="dxa" w:w="1850"/>
            <w:shd w:fill="FFF6D8"/>
            <w:vAlign w:val="center"/>
            <w:tcMar>
              <w:top w:w="80" w:type="dxa"/>
              <w:start w:w="120" w:type="dxa"/>
              <w:bottom w:w="80" w:type="dxa"/>
              <w:end w:w="120" w:type="dxa"/>
            </w:tcMar>
          </w:tcPr>
          <w:p>
            <w:pPr>
              <w:spacing w:before="0" w:after="0" w:line="252" w:lineRule="auto"/>
            </w:pPr>
            <w:r/>
            <w:r>
              <w:rPr>
                <w:rFonts w:ascii="Calibri" w:hAnsi="Calibri" w:cs="Calibri"/>
                <w:b w:val="0"/>
                <w:color w:val="101828"/>
                <w:sz w:val="16"/>
              </w:rPr>
              <w:t>Notification outbox not dispatched</w:t>
            </w:r>
          </w:p>
        </w:tc>
        <w:tc>
          <w:tcPr>
            <w:tcW w:type="dxa" w:w="3650"/>
            <w:shd w:fill="FFF6D8"/>
            <w:vAlign w:val="center"/>
            <w:tcMar>
              <w:top w:w="80" w:type="dxa"/>
              <w:start w:w="120" w:type="dxa"/>
              <w:bottom w:w="80" w:type="dxa"/>
              <w:end w:w="120" w:type="dxa"/>
            </w:tcMar>
          </w:tcPr>
          <w:p>
            <w:pPr>
              <w:spacing w:before="0" w:after="0" w:line="252" w:lineRule="auto"/>
            </w:pPr>
            <w:r/>
            <w:r>
              <w:rPr>
                <w:rFonts w:ascii="Calibri" w:hAnsi="Calibri" w:cs="Calibri"/>
                <w:b w:val="0"/>
                <w:color w:val="101828"/>
                <w:sz w:val="16"/>
              </w:rPr>
              <w:t>Durable intent may never become provider/realtime delivery.</w:t>
            </w:r>
          </w:p>
        </w:tc>
        <w:tc>
          <w:tcPr>
            <w:tcW w:type="dxa" w:w="2960"/>
            <w:shd w:fill="FFF6D8"/>
            <w:vAlign w:val="center"/>
            <w:tcMar>
              <w:top w:w="80" w:type="dxa"/>
              <w:start w:w="120" w:type="dxa"/>
              <w:bottom w:w="80" w:type="dxa"/>
              <w:end w:w="120" w:type="dxa"/>
            </w:tcMar>
          </w:tcPr>
          <w:p>
            <w:pPr>
              <w:spacing w:before="0" w:after="0" w:line="252" w:lineRule="auto"/>
            </w:pPr>
            <w:r/>
            <w:r>
              <w:rPr>
                <w:rFonts w:ascii="Calibri" w:hAnsi="Calibri" w:cs="Calibri"/>
                <w:b w:val="0"/>
                <w:color w:val="101828"/>
                <w:sz w:val="16"/>
              </w:rPr>
              <w:t>Build worker, retries, DLQ, observability, provider adapters.</w:t>
            </w:r>
          </w:p>
        </w:tc>
      </w:tr>
      <w:tr>
        <w:trPr>
          <w:cantSplit/>
        </w:trPr>
        <w:tc>
          <w:tcPr>
            <w:tcW w:type="dxa" w:w="900"/>
            <w:shd w:fill="FFF6D8"/>
            <w:vAlign w:val="center"/>
            <w:tcMar>
              <w:top w:w="80" w:type="dxa"/>
              <w:start w:w="120" w:type="dxa"/>
              <w:bottom w:w="80" w:type="dxa"/>
              <w:end w:w="120" w:type="dxa"/>
            </w:tcMar>
          </w:tcPr>
          <w:p>
            <w:pPr>
              <w:spacing w:before="0" w:after="0" w:line="252" w:lineRule="auto"/>
            </w:pPr>
            <w:r/>
            <w:r>
              <w:rPr>
                <w:rFonts w:ascii="Calibri" w:hAnsi="Calibri" w:cs="Calibri"/>
                <w:b w:val="0"/>
                <w:color w:val="101828"/>
                <w:sz w:val="16"/>
              </w:rPr>
              <w:t>R5 • P1</w:t>
            </w:r>
          </w:p>
        </w:tc>
        <w:tc>
          <w:tcPr>
            <w:tcW w:type="dxa" w:w="1850"/>
            <w:shd w:fill="FFF6D8"/>
            <w:vAlign w:val="center"/>
            <w:tcMar>
              <w:top w:w="80" w:type="dxa"/>
              <w:start w:w="120" w:type="dxa"/>
              <w:bottom w:w="80" w:type="dxa"/>
              <w:end w:w="120" w:type="dxa"/>
            </w:tcMar>
          </w:tcPr>
          <w:p>
            <w:pPr>
              <w:spacing w:before="0" w:after="0" w:line="252" w:lineRule="auto"/>
            </w:pPr>
            <w:r/>
            <w:r>
              <w:rPr>
                <w:rFonts w:ascii="Calibri" w:hAnsi="Calibri" w:cs="Calibri"/>
                <w:b w:val="0"/>
                <w:color w:val="101828"/>
                <w:sz w:val="16"/>
              </w:rPr>
              <w:t>Process-local coordination</w:t>
            </w:r>
          </w:p>
        </w:tc>
        <w:tc>
          <w:tcPr>
            <w:tcW w:type="dxa" w:w="3650"/>
            <w:shd w:fill="FFF6D8"/>
            <w:vAlign w:val="center"/>
            <w:tcMar>
              <w:top w:w="80" w:type="dxa"/>
              <w:start w:w="120" w:type="dxa"/>
              <w:bottom w:w="80" w:type="dxa"/>
              <w:end w:w="120" w:type="dxa"/>
            </w:tcMar>
          </w:tcPr>
          <w:p>
            <w:pPr>
              <w:spacing w:before="0" w:after="0" w:line="252" w:lineRule="auto"/>
            </w:pPr>
            <w:r/>
            <w:r>
              <w:rPr>
                <w:rFonts w:ascii="Calibri" w:hAnsi="Calibri" w:cs="Calibri"/>
                <w:b w:val="0"/>
                <w:color w:val="101828"/>
                <w:sz w:val="16"/>
              </w:rPr>
              <w:t>Rate limits and booking idempotency diverge across replicas and reset on restart.</w:t>
            </w:r>
          </w:p>
        </w:tc>
        <w:tc>
          <w:tcPr>
            <w:tcW w:type="dxa" w:w="2960"/>
            <w:shd w:fill="FFF6D8"/>
            <w:vAlign w:val="center"/>
            <w:tcMar>
              <w:top w:w="80" w:type="dxa"/>
              <w:start w:w="120" w:type="dxa"/>
              <w:bottom w:w="80" w:type="dxa"/>
              <w:end w:w="120" w:type="dxa"/>
            </w:tcMar>
          </w:tcPr>
          <w:p>
            <w:pPr>
              <w:spacing w:before="0" w:after="0" w:line="252" w:lineRule="auto"/>
            </w:pPr>
            <w:r/>
            <w:r>
              <w:rPr>
                <w:rFonts w:ascii="Calibri" w:hAnsi="Calibri" w:cs="Calibri"/>
                <w:b w:val="0"/>
                <w:color w:val="101828"/>
                <w:sz w:val="16"/>
              </w:rPr>
              <w:t>Redis/DB shared stores with scoped keys and atomic operations.</w:t>
            </w:r>
          </w:p>
        </w:tc>
      </w:tr>
      <w:tr>
        <w:trPr>
          <w:cantSplit/>
        </w:trPr>
        <w:tc>
          <w:tcPr>
            <w:tcW w:type="dxa" w:w="900"/>
            <w:shd w:fill="FFF6D8"/>
            <w:vAlign w:val="center"/>
            <w:tcMar>
              <w:top w:w="80" w:type="dxa"/>
              <w:start w:w="120" w:type="dxa"/>
              <w:bottom w:w="80" w:type="dxa"/>
              <w:end w:w="120" w:type="dxa"/>
            </w:tcMar>
          </w:tcPr>
          <w:p>
            <w:pPr>
              <w:spacing w:before="0" w:after="0" w:line="252" w:lineRule="auto"/>
            </w:pPr>
            <w:r/>
            <w:r>
              <w:rPr>
                <w:rFonts w:ascii="Calibri" w:hAnsi="Calibri" w:cs="Calibri"/>
                <w:b w:val="0"/>
                <w:color w:val="101828"/>
                <w:sz w:val="16"/>
              </w:rPr>
              <w:t>R6 • P1</w:t>
            </w:r>
          </w:p>
        </w:tc>
        <w:tc>
          <w:tcPr>
            <w:tcW w:type="dxa" w:w="1850"/>
            <w:shd w:fill="FFF6D8"/>
            <w:vAlign w:val="center"/>
            <w:tcMar>
              <w:top w:w="80" w:type="dxa"/>
              <w:start w:w="120" w:type="dxa"/>
              <w:bottom w:w="80" w:type="dxa"/>
              <w:end w:w="120" w:type="dxa"/>
            </w:tcMar>
          </w:tcPr>
          <w:p>
            <w:pPr>
              <w:spacing w:before="0" w:after="0" w:line="252" w:lineRule="auto"/>
            </w:pPr>
            <w:r/>
            <w:r>
              <w:rPr>
                <w:rFonts w:ascii="Calibri" w:hAnsi="Calibri" w:cs="Calibri"/>
                <w:b w:val="0"/>
                <w:color w:val="101828"/>
                <w:sz w:val="16"/>
              </w:rPr>
              <w:t>Embedded schedules</w:t>
            </w:r>
          </w:p>
        </w:tc>
        <w:tc>
          <w:tcPr>
            <w:tcW w:type="dxa" w:w="3650"/>
            <w:shd w:fill="FFF6D8"/>
            <w:vAlign w:val="center"/>
            <w:tcMar>
              <w:top w:w="80" w:type="dxa"/>
              <w:start w:w="120" w:type="dxa"/>
              <w:bottom w:w="80" w:type="dxa"/>
              <w:end w:w="120" w:type="dxa"/>
            </w:tcMar>
          </w:tcPr>
          <w:p>
            <w:pPr>
              <w:spacing w:before="0" w:after="0" w:line="252" w:lineRule="auto"/>
            </w:pPr>
            <w:r/>
            <w:r>
              <w:rPr>
                <w:rFonts w:ascii="Calibri" w:hAnsi="Calibri" w:cs="Calibri"/>
                <w:b w:val="0"/>
                <w:color w:val="101828"/>
                <w:sz w:val="16"/>
              </w:rPr>
              <w:t>Every API replica can run license/subscription/reminder/maintenance jobs.</w:t>
            </w:r>
          </w:p>
        </w:tc>
        <w:tc>
          <w:tcPr>
            <w:tcW w:type="dxa" w:w="2960"/>
            <w:shd w:fill="FFF6D8"/>
            <w:vAlign w:val="center"/>
            <w:tcMar>
              <w:top w:w="80" w:type="dxa"/>
              <w:start w:w="120" w:type="dxa"/>
              <w:bottom w:w="80" w:type="dxa"/>
              <w:end w:w="120" w:type="dxa"/>
            </w:tcMar>
          </w:tcPr>
          <w:p>
            <w:pPr>
              <w:spacing w:before="0" w:after="0" w:line="252" w:lineRule="auto"/>
            </w:pPr>
            <w:r/>
            <w:r>
              <w:rPr>
                <w:rFonts w:ascii="Calibri" w:hAnsi="Calibri" w:cs="Calibri"/>
                <w:b w:val="0"/>
                <w:color w:val="101828"/>
                <w:sz w:val="16"/>
              </w:rPr>
              <w:t>External scheduler/queue or leader lease; idempotent commands.</w:t>
            </w:r>
          </w:p>
        </w:tc>
      </w:tr>
      <w:tr>
        <w:trPr>
          <w:cantSplit/>
        </w:trPr>
        <w:tc>
          <w:tcPr>
            <w:tcW w:type="dxa" w:w="900"/>
            <w:shd w:fill="FFF6D8"/>
            <w:vAlign w:val="center"/>
            <w:tcMar>
              <w:top w:w="80" w:type="dxa"/>
              <w:start w:w="120" w:type="dxa"/>
              <w:bottom w:w="80" w:type="dxa"/>
              <w:end w:w="120" w:type="dxa"/>
            </w:tcMar>
          </w:tcPr>
          <w:p>
            <w:pPr>
              <w:spacing w:before="0" w:after="0" w:line="252" w:lineRule="auto"/>
            </w:pPr>
            <w:r/>
            <w:r>
              <w:rPr>
                <w:rFonts w:ascii="Calibri" w:hAnsi="Calibri" w:cs="Calibri"/>
                <w:b w:val="0"/>
                <w:color w:val="101828"/>
                <w:sz w:val="16"/>
              </w:rPr>
              <w:t>R7 • P1</w:t>
            </w:r>
          </w:p>
        </w:tc>
        <w:tc>
          <w:tcPr>
            <w:tcW w:type="dxa" w:w="1850"/>
            <w:shd w:fill="FFF6D8"/>
            <w:vAlign w:val="center"/>
            <w:tcMar>
              <w:top w:w="80" w:type="dxa"/>
              <w:start w:w="120" w:type="dxa"/>
              <w:bottom w:w="80" w:type="dxa"/>
              <w:end w:w="120" w:type="dxa"/>
            </w:tcMar>
          </w:tcPr>
          <w:p>
            <w:pPr>
              <w:spacing w:before="0" w:after="0" w:line="252" w:lineRule="auto"/>
            </w:pPr>
            <w:r/>
            <w:r>
              <w:rPr>
                <w:rFonts w:ascii="Calibri" w:hAnsi="Calibri" w:cs="Calibri"/>
                <w:b w:val="0"/>
                <w:color w:val="101828"/>
                <w:sz w:val="16"/>
              </w:rPr>
              <w:t>Local file persistence</w:t>
            </w:r>
          </w:p>
        </w:tc>
        <w:tc>
          <w:tcPr>
            <w:tcW w:type="dxa" w:w="3650"/>
            <w:shd w:fill="FFF6D8"/>
            <w:vAlign w:val="center"/>
            <w:tcMar>
              <w:top w:w="80" w:type="dxa"/>
              <w:start w:w="120" w:type="dxa"/>
              <w:bottom w:w="80" w:type="dxa"/>
              <w:end w:w="120" w:type="dxa"/>
            </w:tcMar>
          </w:tcPr>
          <w:p>
            <w:pPr>
              <w:spacing w:before="0" w:after="0" w:line="252" w:lineRule="auto"/>
            </w:pPr>
            <w:r/>
            <w:r>
              <w:rPr>
                <w:rFonts w:ascii="Calibri" w:hAnsi="Calibri" w:cs="Calibri"/>
                <w:b w:val="0"/>
                <w:color w:val="101828"/>
                <w:sz w:val="16"/>
              </w:rPr>
              <w:t>Replica inconsistency, disk loss, and weak lifecycle control for sensitive evidence.</w:t>
            </w:r>
          </w:p>
        </w:tc>
        <w:tc>
          <w:tcPr>
            <w:tcW w:type="dxa" w:w="2960"/>
            <w:shd w:fill="FFF6D8"/>
            <w:vAlign w:val="center"/>
            <w:tcMar>
              <w:top w:w="80" w:type="dxa"/>
              <w:start w:w="120" w:type="dxa"/>
              <w:bottom w:w="80" w:type="dxa"/>
              <w:end w:w="120" w:type="dxa"/>
            </w:tcMar>
          </w:tcPr>
          <w:p>
            <w:pPr>
              <w:spacing w:before="0" w:after="0" w:line="252" w:lineRule="auto"/>
            </w:pPr>
            <w:r/>
            <w:r>
              <w:rPr>
                <w:rFonts w:ascii="Calibri" w:hAnsi="Calibri" w:cs="Calibri"/>
                <w:b w:val="0"/>
                <w:color w:val="101828"/>
                <w:sz w:val="16"/>
              </w:rPr>
              <w:t>Object storage, private signed access, scanning, encryption, retention.</w:t>
            </w:r>
          </w:p>
        </w:tc>
      </w:tr>
      <w:tr>
        <w:trPr>
          <w:cantSplit/>
        </w:trPr>
        <w:tc>
          <w:tcPr>
            <w:tcW w:type="dxa" w:w="900"/>
            <w:shd w:fill="FFF6D8"/>
            <w:vAlign w:val="center"/>
            <w:tcMar>
              <w:top w:w="80" w:type="dxa"/>
              <w:start w:w="120" w:type="dxa"/>
              <w:bottom w:w="80" w:type="dxa"/>
              <w:end w:w="120" w:type="dxa"/>
            </w:tcMar>
          </w:tcPr>
          <w:p>
            <w:pPr>
              <w:spacing w:before="0" w:after="0" w:line="252" w:lineRule="auto"/>
            </w:pPr>
            <w:r/>
            <w:r>
              <w:rPr>
                <w:rFonts w:ascii="Calibri" w:hAnsi="Calibri" w:cs="Calibri"/>
                <w:b w:val="0"/>
                <w:color w:val="101828"/>
                <w:sz w:val="16"/>
              </w:rPr>
              <w:t>R8 • P1</w:t>
            </w:r>
          </w:p>
        </w:tc>
        <w:tc>
          <w:tcPr>
            <w:tcW w:type="dxa" w:w="1850"/>
            <w:shd w:fill="FFF6D8"/>
            <w:vAlign w:val="center"/>
            <w:tcMar>
              <w:top w:w="80" w:type="dxa"/>
              <w:start w:w="120" w:type="dxa"/>
              <w:bottom w:w="80" w:type="dxa"/>
              <w:end w:w="120" w:type="dxa"/>
            </w:tcMar>
          </w:tcPr>
          <w:p>
            <w:pPr>
              <w:spacing w:before="0" w:after="0" w:line="252" w:lineRule="auto"/>
            </w:pPr>
            <w:r/>
            <w:r>
              <w:rPr>
                <w:rFonts w:ascii="Calibri" w:hAnsi="Calibri" w:cs="Calibri"/>
                <w:b w:val="0"/>
                <w:color w:val="101828"/>
                <w:sz w:val="16"/>
              </w:rPr>
              <w:t>Operational blind spots</w:t>
            </w:r>
          </w:p>
        </w:tc>
        <w:tc>
          <w:tcPr>
            <w:tcW w:type="dxa" w:w="3650"/>
            <w:shd w:fill="FFF6D8"/>
            <w:vAlign w:val="center"/>
            <w:tcMar>
              <w:top w:w="80" w:type="dxa"/>
              <w:start w:w="120" w:type="dxa"/>
              <w:bottom w:w="80" w:type="dxa"/>
              <w:end w:w="120" w:type="dxa"/>
            </w:tcMar>
          </w:tcPr>
          <w:p>
            <w:pPr>
              <w:spacing w:before="0" w:after="0" w:line="252" w:lineRule="auto"/>
            </w:pPr>
            <w:r/>
            <w:r>
              <w:rPr>
                <w:rFonts w:ascii="Calibri" w:hAnsi="Calibri" w:cs="Calibri"/>
                <w:b w:val="0"/>
                <w:color w:val="101828"/>
                <w:sz w:val="16"/>
              </w:rPr>
              <w:t>No verified readiness, graceful shutdown, metrics, tracing, SLOs, alerting, or recovery test.</w:t>
            </w:r>
          </w:p>
        </w:tc>
        <w:tc>
          <w:tcPr>
            <w:tcW w:type="dxa" w:w="2960"/>
            <w:shd w:fill="FFF6D8"/>
            <w:vAlign w:val="center"/>
            <w:tcMar>
              <w:top w:w="80" w:type="dxa"/>
              <w:start w:w="120" w:type="dxa"/>
              <w:bottom w:w="80" w:type="dxa"/>
              <w:end w:w="120" w:type="dxa"/>
            </w:tcMar>
          </w:tcPr>
          <w:p>
            <w:pPr>
              <w:spacing w:before="0" w:after="0" w:line="252" w:lineRule="auto"/>
            </w:pPr>
            <w:r/>
            <w:r>
              <w:rPr>
                <w:rFonts w:ascii="Calibri" w:hAnsi="Calibri" w:cs="Calibri"/>
                <w:b w:val="0"/>
                <w:color w:val="101828"/>
                <w:sz w:val="16"/>
              </w:rPr>
              <w:t>Instrument critical paths and prove runbooks in staging.</w:t>
            </w:r>
          </w:p>
        </w:tc>
      </w:tr>
      <w:tr>
        <w:trPr>
          <w:cantSplit/>
        </w:trPr>
        <w:tc>
          <w:tcPr>
            <w:tcW w:type="dxa" w:w="900"/>
            <w:shd w:fill="FFF6D8"/>
            <w:vAlign w:val="center"/>
            <w:tcMar>
              <w:top w:w="80" w:type="dxa"/>
              <w:start w:w="120" w:type="dxa"/>
              <w:bottom w:w="80" w:type="dxa"/>
              <w:end w:w="120" w:type="dxa"/>
            </w:tcMar>
          </w:tcPr>
          <w:p>
            <w:pPr>
              <w:spacing w:before="0" w:after="0" w:line="252" w:lineRule="auto"/>
            </w:pPr>
            <w:r/>
            <w:r>
              <w:rPr>
                <w:rFonts w:ascii="Calibri" w:hAnsi="Calibri" w:cs="Calibri"/>
                <w:b w:val="0"/>
                <w:color w:val="101828"/>
                <w:sz w:val="16"/>
              </w:rPr>
              <w:t>R9 • P1</w:t>
            </w:r>
          </w:p>
        </w:tc>
        <w:tc>
          <w:tcPr>
            <w:tcW w:type="dxa" w:w="1850"/>
            <w:shd w:fill="FFF6D8"/>
            <w:vAlign w:val="center"/>
            <w:tcMar>
              <w:top w:w="80" w:type="dxa"/>
              <w:start w:w="120" w:type="dxa"/>
              <w:bottom w:w="80" w:type="dxa"/>
              <w:end w:w="120" w:type="dxa"/>
            </w:tcMar>
          </w:tcPr>
          <w:p>
            <w:pPr>
              <w:spacing w:before="0" w:after="0" w:line="252" w:lineRule="auto"/>
            </w:pPr>
            <w:r/>
            <w:r>
              <w:rPr>
                <w:rFonts w:ascii="Calibri" w:hAnsi="Calibri" w:cs="Calibri"/>
                <w:b w:val="0"/>
                <w:color w:val="101828"/>
                <w:sz w:val="16"/>
              </w:rPr>
              <w:t>Personal-data governance gap</w:t>
            </w:r>
          </w:p>
        </w:tc>
        <w:tc>
          <w:tcPr>
            <w:tcW w:type="dxa" w:w="3650"/>
            <w:shd w:fill="FFF6D8"/>
            <w:vAlign w:val="center"/>
            <w:tcMar>
              <w:top w:w="80" w:type="dxa"/>
              <w:start w:w="120" w:type="dxa"/>
              <w:bottom w:w="80" w:type="dxa"/>
              <w:end w:w="120" w:type="dxa"/>
            </w:tcMar>
          </w:tcPr>
          <w:p>
            <w:pPr>
              <w:spacing w:before="0" w:after="0" w:line="252" w:lineRule="auto"/>
            </w:pPr>
            <w:r/>
            <w:r>
              <w:rPr>
                <w:rFonts w:ascii="Calibri" w:hAnsi="Calibri" w:cs="Calibri"/>
                <w:b w:val="0"/>
                <w:color w:val="101828"/>
                <w:sz w:val="16"/>
              </w:rPr>
              <w:t>High-risk identity/license/contract/damage data lacks evidenced encryption and lifecycle controls.</w:t>
            </w:r>
          </w:p>
        </w:tc>
        <w:tc>
          <w:tcPr>
            <w:tcW w:type="dxa" w:w="2960"/>
            <w:shd w:fill="FFF6D8"/>
            <w:vAlign w:val="center"/>
            <w:tcMar>
              <w:top w:w="80" w:type="dxa"/>
              <w:start w:w="120" w:type="dxa"/>
              <w:bottom w:w="80" w:type="dxa"/>
              <w:end w:w="120" w:type="dxa"/>
            </w:tcMar>
          </w:tcPr>
          <w:p>
            <w:pPr>
              <w:spacing w:before="0" w:after="0" w:line="252" w:lineRule="auto"/>
            </w:pPr>
            <w:r/>
            <w:r>
              <w:rPr>
                <w:rFonts w:ascii="Calibri" w:hAnsi="Calibri" w:cs="Calibri"/>
                <w:b w:val="0"/>
                <w:color w:val="101828"/>
                <w:sz w:val="16"/>
              </w:rPr>
              <w:t>Data map, legal basis, encryption, retention, DSAR, access audit.</w:t>
            </w:r>
          </w:p>
        </w:tc>
      </w:tr>
      <w:tr>
        <w:trPr>
          <w:cantSplit/>
        </w:trPr>
        <w:tc>
          <w:tcPr>
            <w:tcW w:type="dxa" w:w="900"/>
            <w:shd w:fill="FFF6D8"/>
            <w:vAlign w:val="center"/>
            <w:tcMar>
              <w:top w:w="80" w:type="dxa"/>
              <w:start w:w="120" w:type="dxa"/>
              <w:bottom w:w="80" w:type="dxa"/>
              <w:end w:w="120" w:type="dxa"/>
            </w:tcMar>
          </w:tcPr>
          <w:p>
            <w:pPr>
              <w:spacing w:before="0" w:after="0" w:line="252" w:lineRule="auto"/>
            </w:pPr>
            <w:r/>
            <w:r>
              <w:rPr>
                <w:rFonts w:ascii="Calibri" w:hAnsi="Calibri" w:cs="Calibri"/>
                <w:b w:val="0"/>
                <w:color w:val="101828"/>
                <w:sz w:val="16"/>
              </w:rPr>
              <w:t>R10 • P1</w:t>
            </w:r>
          </w:p>
        </w:tc>
        <w:tc>
          <w:tcPr>
            <w:tcW w:type="dxa" w:w="1850"/>
            <w:shd w:fill="FFF6D8"/>
            <w:vAlign w:val="center"/>
            <w:tcMar>
              <w:top w:w="80" w:type="dxa"/>
              <w:start w:w="120" w:type="dxa"/>
              <w:bottom w:w="80" w:type="dxa"/>
              <w:end w:w="120" w:type="dxa"/>
            </w:tcMar>
          </w:tcPr>
          <w:p>
            <w:pPr>
              <w:spacing w:before="0" w:after="0" w:line="252" w:lineRule="auto"/>
            </w:pPr>
            <w:r/>
            <w:r>
              <w:rPr>
                <w:rFonts w:ascii="Calibri" w:hAnsi="Calibri" w:cs="Calibri"/>
                <w:b w:val="0"/>
                <w:color w:val="101828"/>
                <w:sz w:val="16"/>
              </w:rPr>
              <w:t>Commercial entitlement drift</w:t>
            </w:r>
          </w:p>
        </w:tc>
        <w:tc>
          <w:tcPr>
            <w:tcW w:type="dxa" w:w="3650"/>
            <w:shd w:fill="FFF6D8"/>
            <w:vAlign w:val="center"/>
            <w:tcMar>
              <w:top w:w="80" w:type="dxa"/>
              <w:start w:w="120" w:type="dxa"/>
              <w:bottom w:w="80" w:type="dxa"/>
              <w:end w:w="120" w:type="dxa"/>
            </w:tcMar>
          </w:tcPr>
          <w:p>
            <w:pPr>
              <w:spacing w:before="0" w:after="0" w:line="252" w:lineRule="auto"/>
            </w:pPr>
            <w:r/>
            <w:r>
              <w:rPr>
                <w:rFonts w:ascii="Calibri" w:hAnsi="Calibri" w:cs="Calibri"/>
                <w:b w:val="0"/>
                <w:color w:val="101828"/>
                <w:sz w:val="16"/>
              </w:rPr>
              <w:t>Homepage catalog differs from code; limits can be parsed from display labels.</w:t>
            </w:r>
          </w:p>
        </w:tc>
        <w:tc>
          <w:tcPr>
            <w:tcW w:type="dxa" w:w="2960"/>
            <w:shd w:fill="FFF6D8"/>
            <w:vAlign w:val="center"/>
            <w:tcMar>
              <w:top w:w="80" w:type="dxa"/>
              <w:start w:w="120" w:type="dxa"/>
              <w:bottom w:w="80" w:type="dxa"/>
              <w:end w:w="120" w:type="dxa"/>
            </w:tcMar>
          </w:tcPr>
          <w:p>
            <w:pPr>
              <w:spacing w:before="0" w:after="0" w:line="252" w:lineRule="auto"/>
            </w:pPr>
            <w:r/>
            <w:r>
              <w:rPr>
                <w:rFonts w:ascii="Calibri" w:hAnsi="Calibri" w:cs="Calibri"/>
                <w:b w:val="0"/>
                <w:color w:val="101828"/>
                <w:sz w:val="16"/>
              </w:rPr>
              <w:t>One typed catalog; contract tests; controlled plan migrations.</w:t>
            </w:r>
          </w:p>
        </w:tc>
      </w:tr>
      <w:tr>
        <w:trPr>
          <w:cantSplit/>
        </w:trPr>
        <w:tc>
          <w:tcPr>
            <w:tcW w:type="dxa" w:w="9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6"/>
              </w:rPr>
              <w:t>R11 • P2</w:t>
            </w:r>
          </w:p>
        </w:tc>
        <w:tc>
          <w:tcPr>
            <w:tcW w:type="dxa" w:w="185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6"/>
              </w:rPr>
              <w:t>Partial API contract</w:t>
            </w:r>
          </w:p>
        </w:tc>
        <w:tc>
          <w:tcPr>
            <w:tcW w:type="dxa" w:w="365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6"/>
              </w:rPr>
              <w:t>OpenAPI describes about 59% of runtime handlers; client and external docs can drift.</w:t>
            </w:r>
          </w:p>
        </w:tc>
        <w:tc>
          <w:tcPr>
            <w:tcW w:type="dxa" w:w="296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6"/>
              </w:rPr>
              <w:t>Contract-derived routes/clients and CI completeness check.</w:t>
            </w:r>
          </w:p>
        </w:tc>
      </w:tr>
      <w:tr>
        <w:trPr>
          <w:cantSplit/>
        </w:trPr>
        <w:tc>
          <w:tcPr>
            <w:tcW w:type="dxa" w:w="9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6"/>
              </w:rPr>
              <w:t>R12 • P2</w:t>
            </w:r>
          </w:p>
        </w:tc>
        <w:tc>
          <w:tcPr>
            <w:tcW w:type="dxa" w:w="185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6"/>
              </w:rPr>
              <w:t>Legacy domain overlap</w:t>
            </w:r>
          </w:p>
        </w:tc>
        <w:tc>
          <w:tcPr>
            <w:tcW w:type="dxa" w:w="365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6"/>
              </w:rPr>
              <w:t>Two billing and notification generations complicate source-of-truth and retention.</w:t>
            </w:r>
          </w:p>
        </w:tc>
        <w:tc>
          <w:tcPr>
            <w:tcW w:type="dxa" w:w="296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6"/>
              </w:rPr>
              <w:t>Publish migration map; converge reads/writes; archive legacy paths.</w:t>
            </w:r>
          </w:p>
        </w:tc>
      </w:tr>
      <w:tr>
        <w:trPr>
          <w:cantSplit/>
        </w:trPr>
        <w:tc>
          <w:tcPr>
            <w:tcW w:type="dxa" w:w="9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6"/>
              </w:rPr>
              <w:t>R13 • P2</w:t>
            </w:r>
          </w:p>
        </w:tc>
        <w:tc>
          <w:tcPr>
            <w:tcW w:type="dxa" w:w="185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6"/>
              </w:rPr>
              <w:t>Frontend/system duplication</w:t>
            </w:r>
          </w:p>
        </w:tc>
        <w:tc>
          <w:tcPr>
            <w:tcW w:type="dxa" w:w="365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6"/>
              </w:rPr>
              <w:t>Four apps repeat dependencies, clients, tokens, and operational patterns.</w:t>
            </w:r>
          </w:p>
        </w:tc>
        <w:tc>
          <w:tcPr>
            <w:tcW w:type="dxa" w:w="296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6"/>
              </w:rPr>
              <w:t>Shared typed client and design/accessibility primitives.</w:t>
            </w:r>
          </w:p>
        </w:tc>
      </w:tr>
      <w:tr>
        <w:trPr>
          <w:cantSplit/>
        </w:trPr>
        <w:tc>
          <w:tcPr>
            <w:tcW w:type="dxa" w:w="9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6"/>
              </w:rPr>
              <w:t>R14 • P2</w:t>
            </w:r>
          </w:p>
        </w:tc>
        <w:tc>
          <w:tcPr>
            <w:tcW w:type="dxa" w:w="185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6"/>
              </w:rPr>
              <w:t>Test runner instability</w:t>
            </w:r>
          </w:p>
        </w:tc>
        <w:tc>
          <w:tcPr>
            <w:tcW w:type="dxa" w:w="365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6"/>
              </w:rPr>
              <w:t>Suites begin and pass visible cases but do not complete deterministically in review environment.</w:t>
            </w:r>
          </w:p>
        </w:tc>
        <w:tc>
          <w:tcPr>
            <w:tcW w:type="dxa" w:w="296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6"/>
              </w:rPr>
              <w:t>Pin toolchain; find open handles; enforce bounded CI completion.</w:t>
            </w:r>
          </w:p>
        </w:tc>
      </w:tr>
    </w:tbl>
    <w:p>
      <w:pPr>
        <w:spacing w:after="20"/>
      </w:pPr>
    </w:p>
    <w:p>
      <w:pPr>
        <w:pStyle w:val="Heading2"/>
      </w:pPr>
      <w:r>
        <w:t>Risk dependencies</w:t>
      </w:r>
    </w:p>
    <w:p>
      <w:pPr>
        <w:keepLines w:val="0"/>
      </w:pPr>
      <w:r>
        <w:rPr>
          <w:rFonts w:ascii="Calibri" w:hAnsi="Calibri" w:cs="Calibri"/>
          <w:b w:val="0"/>
          <w:i w:val="0"/>
        </w:rPr>
        <w:t>Several risks are coupled. Reproducing the deployment is prerequisite to meaningful performance, security, and recovery testing. Moving coordination to Redis/queues is prerequisite to safe horizontal scaling. Completing the notification worker is prerequisite to truthful delivery claims. Converging the commercial catalog is prerequisite to reliable billing and entitlement analytics.</w:t>
      </w:r>
    </w:p>
    <w:p>
      <w:pPr>
        <w:pStyle w:val="Heading1"/>
      </w:pPr>
      <w:r>
        <w:t>16. Production-readiness roadmap</w:t>
      </w:r>
    </w:p>
    <w:p>
      <w:pPr>
        <w:pStyle w:val="Heading2"/>
      </w:pPr>
      <w:r>
        <w:t>Phase 0 — Evidence recovery (days 0–14)</w:t>
      </w:r>
    </w:p>
    <w:p>
      <w:pPr>
        <w:keepLines/>
        <w:numPr>
          <w:ilvl w:val="0"/>
          <w:numId w:val="10"/>
        </w:numPr>
        <w:spacing w:after="160" w:line="280" w:lineRule="auto"/>
      </w:pPr>
      <w:r>
        <w:rPr>
          <w:rFonts w:ascii="Calibri" w:hAnsi="Calibri" w:cs="Calibri"/>
        </w:rPr>
        <w:t>Recover the canonical repository and all referenced Turbo, TypeScript, script, Compose, migration-deploy, backup/restore, admin-bootstrap, and security-scan artifacts.</w:t>
      </w:r>
    </w:p>
    <w:p>
      <w:pPr>
        <w:keepLines/>
        <w:numPr>
          <w:ilvl w:val="0"/>
          <w:numId w:val="10"/>
        </w:numPr>
        <w:spacing w:after="160" w:line="280" w:lineRule="auto"/>
      </w:pPr>
      <w:r>
        <w:rPr>
          <w:rFonts w:ascii="Calibri" w:hAnsi="Calibri" w:cs="Calibri"/>
        </w:rPr>
        <w:t>Create a clean, pinned CI runner that installs, generates, lints, type-checks, tests, builds, creates images, migrates a fresh database, and boots an ephemeral environment.</w:t>
      </w:r>
    </w:p>
    <w:p>
      <w:pPr>
        <w:keepLines/>
        <w:numPr>
          <w:ilvl w:val="0"/>
          <w:numId w:val="10"/>
        </w:numPr>
        <w:spacing w:after="160" w:line="280" w:lineRule="auto"/>
      </w:pPr>
      <w:r>
        <w:rPr>
          <w:rFonts w:ascii="Calibri" w:hAnsi="Calibri" w:cs="Calibri"/>
        </w:rPr>
        <w:t>Patch or remove vulnerable and unused dependencies; align React/Next/tooling peer ranges; rerun production SCA and create an SBOM.</w:t>
      </w:r>
    </w:p>
    <w:p>
      <w:pPr>
        <w:keepLines/>
        <w:numPr>
          <w:ilvl w:val="0"/>
          <w:numId w:val="10"/>
        </w:numPr>
        <w:spacing w:after="160" w:line="280" w:lineRule="auto"/>
      </w:pPr>
      <w:r>
        <w:rPr>
          <w:rFonts w:ascii="Calibri" w:hAnsi="Calibri" w:cs="Calibri"/>
        </w:rPr>
        <w:t>Remove environment/build/cache artifacts from source exports and rotate any credentials that may have been archived.</w:t>
      </w:r>
    </w:p>
    <w:p>
      <w:pPr>
        <w:keepLines/>
        <w:numPr>
          <w:ilvl w:val="0"/>
          <w:numId w:val="10"/>
        </w:numPr>
        <w:spacing w:after="160" w:line="280" w:lineRule="auto"/>
      </w:pPr>
      <w:r>
        <w:rPr>
          <w:rFonts w:ascii="Calibri" w:hAnsi="Calibri" w:cs="Calibri"/>
        </w:rPr>
        <w:t>Disable the nonfunctional container-management UI/service from production scope.</w:t>
      </w:r>
    </w:p>
    <w:p>
      <w:pPr>
        <w:pStyle w:val="Heading3"/>
      </w:pPr>
      <w:r>
        <w:t>Exit evidence</w:t>
      </w:r>
    </w:p>
    <w:p>
      <w:pPr>
        <w:keepLines w:val="0"/>
      </w:pPr>
      <w:r>
        <w:rPr>
          <w:rFonts w:ascii="Calibri" w:hAnsi="Calibri" w:cs="Calibri"/>
          <w:b w:val="0"/>
          <w:i w:val="0"/>
        </w:rPr>
        <w:t>One signed commit and immutable build produces all deployable artifacts from a clean runner; all static/test gates complete; the production vulnerability policy passes; the deployed smoke environment is reproducible.</w:t>
      </w:r>
    </w:p>
    <w:p>
      <w:pPr>
        <w:pStyle w:val="Heading2"/>
      </w:pPr>
      <w:r>
        <w:t>Phase 1 — Correctness and shared state (days 15–30)</w:t>
      </w:r>
    </w:p>
    <w:p>
      <w:pPr>
        <w:keepLines/>
        <w:numPr>
          <w:ilvl w:val="0"/>
          <w:numId w:val="10"/>
        </w:numPr>
        <w:spacing w:after="160" w:line="280" w:lineRule="auto"/>
      </w:pPr>
      <w:r>
        <w:rPr>
          <w:rFonts w:ascii="Calibri" w:hAnsi="Calibri" w:cs="Calibri"/>
        </w:rPr>
        <w:t>Implement a durable notification dispatcher with leases, retries, dead-letter state, provider adapters, Redis/socket publication, and delivery metrics.</w:t>
      </w:r>
    </w:p>
    <w:p>
      <w:pPr>
        <w:keepLines/>
        <w:numPr>
          <w:ilvl w:val="0"/>
          <w:numId w:val="10"/>
        </w:numPr>
        <w:spacing w:after="160" w:line="280" w:lineRule="auto"/>
      </w:pPr>
      <w:r>
        <w:rPr>
          <w:rFonts w:ascii="Calibri" w:hAnsi="Calibri" w:cs="Calibri"/>
        </w:rPr>
        <w:t>Move rate limiting and command idempotency to shared Redis/PostgreSQL; define idempotency semantics for booking, payment, refund, and webhook-driven commands.</w:t>
      </w:r>
    </w:p>
    <w:p>
      <w:pPr>
        <w:keepLines/>
        <w:numPr>
          <w:ilvl w:val="0"/>
          <w:numId w:val="10"/>
        </w:numPr>
        <w:spacing w:after="160" w:line="280" w:lineRule="auto"/>
      </w:pPr>
      <w:r>
        <w:rPr>
          <w:rFonts w:ascii="Calibri" w:hAnsi="Calibri" w:cs="Calibri"/>
        </w:rPr>
        <w:t>Move schedules to an external scheduler/queue or add leadership leases; make each job state transition idempotent.</w:t>
      </w:r>
    </w:p>
    <w:p>
      <w:pPr>
        <w:keepLines/>
        <w:numPr>
          <w:ilvl w:val="0"/>
          <w:numId w:val="10"/>
        </w:numPr>
        <w:spacing w:after="160" w:line="280" w:lineRule="auto"/>
      </w:pPr>
      <w:r>
        <w:rPr>
          <w:rFonts w:ascii="Calibri" w:hAnsi="Calibri" w:cs="Calibri"/>
        </w:rPr>
        <w:t>Replace local private files with object storage, scoped signed access, malware/media validation, encryption, versioning, and lifecycle policies.</w:t>
      </w:r>
    </w:p>
    <w:p>
      <w:pPr>
        <w:keepLines/>
        <w:numPr>
          <w:ilvl w:val="0"/>
          <w:numId w:val="10"/>
        </w:numPr>
        <w:spacing w:after="160" w:line="280" w:lineRule="auto"/>
      </w:pPr>
      <w:r>
        <w:rPr>
          <w:rFonts w:ascii="Calibri" w:hAnsi="Calibri" w:cs="Calibri"/>
        </w:rPr>
        <w:t>Add database/Redis/storage readiness and graceful shutdown/drain behavior.</w:t>
      </w:r>
    </w:p>
    <w:p>
      <w:pPr>
        <w:pStyle w:val="Heading3"/>
      </w:pPr>
      <w:r>
        <w:t>Exit evidence</w:t>
      </w:r>
    </w:p>
    <w:p>
      <w:pPr>
        <w:keepLines w:val="0"/>
      </w:pPr>
      <w:r>
        <w:rPr>
          <w:rFonts w:ascii="Calibri" w:hAnsi="Calibri" w:cs="Calibri"/>
          <w:b w:val="0"/>
          <w:i w:val="0"/>
        </w:rPr>
        <w:t>Two API replicas pass concurrency, retry, failover, file-access, scheduled-job, and notification-delivery tests without duplicates or missing state.</w:t>
      </w:r>
    </w:p>
    <w:p>
      <w:pPr>
        <w:pStyle w:val="Heading2"/>
      </w:pPr>
      <w:r>
        <w:t>Phase 2 — Operational control (days 31–60)</w:t>
      </w:r>
    </w:p>
    <w:p>
      <w:pPr>
        <w:keepLines/>
        <w:numPr>
          <w:ilvl w:val="0"/>
          <w:numId w:val="10"/>
        </w:numPr>
        <w:spacing w:after="160" w:line="280" w:lineRule="auto"/>
      </w:pPr>
      <w:r>
        <w:rPr>
          <w:rFonts w:ascii="Calibri" w:hAnsi="Calibri" w:cs="Calibri"/>
        </w:rPr>
        <w:t>Instrument structured logs, traces, and service/business metrics; publish dashboards and alerts for latency, errors, saturation, webhook lag, job lag, outbox lag, and payment reconciliation.</w:t>
      </w:r>
    </w:p>
    <w:p>
      <w:pPr>
        <w:keepLines/>
        <w:numPr>
          <w:ilvl w:val="0"/>
          <w:numId w:val="10"/>
        </w:numPr>
        <w:spacing w:after="160" w:line="280" w:lineRule="auto"/>
      </w:pPr>
      <w:r>
        <w:rPr>
          <w:rFonts w:ascii="Calibri" w:hAnsi="Calibri" w:cs="Calibri"/>
        </w:rPr>
        <w:t>Define SLOs and error budgets for search, quote, booking, payment confirmation, tenant operations, and notification delivery.</w:t>
      </w:r>
    </w:p>
    <w:p>
      <w:pPr>
        <w:keepLines/>
        <w:numPr>
          <w:ilvl w:val="0"/>
          <w:numId w:val="10"/>
        </w:numPr>
        <w:spacing w:after="160" w:line="280" w:lineRule="auto"/>
      </w:pPr>
      <w:r>
        <w:rPr>
          <w:rFonts w:ascii="Calibri" w:hAnsi="Calibri" w:cs="Calibri"/>
        </w:rPr>
        <w:t>Automate encrypted PostgreSQL backups/PITR and object versioning; conduct and record a full restore against stated RPO/RTO.</w:t>
      </w:r>
    </w:p>
    <w:p>
      <w:pPr>
        <w:keepLines/>
        <w:numPr>
          <w:ilvl w:val="0"/>
          <w:numId w:val="10"/>
        </w:numPr>
        <w:spacing w:after="160" w:line="280" w:lineRule="auto"/>
      </w:pPr>
      <w:r>
        <w:rPr>
          <w:rFonts w:ascii="Calibri" w:hAnsi="Calibri" w:cs="Calibri"/>
        </w:rPr>
        <w:t>Make the API contract authoritative and generate typed clients; close route-documentation gaps.</w:t>
      </w:r>
    </w:p>
    <w:p>
      <w:pPr>
        <w:keepLines/>
        <w:numPr>
          <w:ilvl w:val="0"/>
          <w:numId w:val="10"/>
        </w:numPr>
        <w:spacing w:after="160" w:line="280" w:lineRule="auto"/>
      </w:pPr>
      <w:r>
        <w:rPr>
          <w:rFonts w:ascii="Calibri" w:hAnsi="Calibri" w:cs="Calibri"/>
        </w:rPr>
        <w:t>Converge billing/notification legacy models and publish data migration/reconciliation evidence.</w:t>
      </w:r>
    </w:p>
    <w:p>
      <w:pPr>
        <w:keepLines/>
        <w:numPr>
          <w:ilvl w:val="0"/>
          <w:numId w:val="10"/>
        </w:numPr>
        <w:spacing w:after="160" w:line="280" w:lineRule="auto"/>
      </w:pPr>
      <w:r>
        <w:rPr>
          <w:rFonts w:ascii="Calibri" w:hAnsi="Calibri" w:cs="Calibri"/>
        </w:rPr>
        <w:t>Create a privacy data map, retention schedules, privileged-access audit, and data-subject workflows.</w:t>
      </w:r>
    </w:p>
    <w:p>
      <w:pPr>
        <w:pStyle w:val="Heading3"/>
      </w:pPr>
      <w:r>
        <w:t>Exit evidence</w:t>
      </w:r>
    </w:p>
    <w:p>
      <w:pPr>
        <w:keepLines w:val="0"/>
      </w:pPr>
      <w:r>
        <w:rPr>
          <w:rFonts w:ascii="Calibri" w:hAnsi="Calibri" w:cs="Calibri"/>
          <w:b w:val="0"/>
          <w:i w:val="0"/>
        </w:rPr>
        <w:t>A staging incident can be detected, traced, mitigated, and recovered through documented runbooks; a restore and provider-reconciliation exercise meets approved objectives.</w:t>
      </w:r>
    </w:p>
    <w:p>
      <w:pPr>
        <w:pStyle w:val="Heading2"/>
      </w:pPr>
      <w:r>
        <w:t>Phase 3 — Scale and assurance (days 61–90)</w:t>
      </w:r>
    </w:p>
    <w:p>
      <w:pPr>
        <w:keepLines/>
        <w:numPr>
          <w:ilvl w:val="0"/>
          <w:numId w:val="10"/>
        </w:numPr>
        <w:spacing w:after="160" w:line="280" w:lineRule="auto"/>
      </w:pPr>
      <w:r>
        <w:rPr>
          <w:rFonts w:ascii="Calibri" w:hAnsi="Calibri" w:cs="Calibri"/>
        </w:rPr>
        <w:t>Run representative load, soak, concurrency, and failure-injection tests using tenant-skewed data and provider/webhook bursts.</w:t>
      </w:r>
    </w:p>
    <w:p>
      <w:pPr>
        <w:keepLines/>
        <w:numPr>
          <w:ilvl w:val="0"/>
          <w:numId w:val="10"/>
        </w:numPr>
        <w:spacing w:after="160" w:line="280" w:lineRule="auto"/>
      </w:pPr>
      <w:r>
        <w:rPr>
          <w:rFonts w:ascii="Calibri" w:hAnsi="Calibri" w:cs="Calibri"/>
        </w:rPr>
        <w:t>Complete independent threat modeling and penetration testing; close critical/high findings or record time-bounded acceptance.</w:t>
      </w:r>
    </w:p>
    <w:p>
      <w:pPr>
        <w:keepLines/>
        <w:numPr>
          <w:ilvl w:val="0"/>
          <w:numId w:val="10"/>
        </w:numPr>
        <w:spacing w:after="160" w:line="280" w:lineRule="auto"/>
      </w:pPr>
      <w:r>
        <w:rPr>
          <w:rFonts w:ascii="Calibri" w:hAnsi="Calibri" w:cs="Calibri"/>
        </w:rPr>
        <w:t>Add repository-level cross-tenant negative tests and evaluate database row-level security for defense in depth.</w:t>
      </w:r>
    </w:p>
    <w:p>
      <w:pPr>
        <w:keepLines/>
        <w:numPr>
          <w:ilvl w:val="0"/>
          <w:numId w:val="10"/>
        </w:numPr>
        <w:spacing w:after="160" w:line="280" w:lineRule="auto"/>
      </w:pPr>
      <w:r>
        <w:rPr>
          <w:rFonts w:ascii="Calibri" w:hAnsi="Calibri" w:cs="Calibri"/>
        </w:rPr>
        <w:t>Align one plan/price/entitlement catalog across marketing, checkout, enforcement, admin, and invoices.</w:t>
      </w:r>
    </w:p>
    <w:p>
      <w:pPr>
        <w:keepLines/>
        <w:numPr>
          <w:ilvl w:val="0"/>
          <w:numId w:val="10"/>
        </w:numPr>
        <w:spacing w:after="160" w:line="280" w:lineRule="auto"/>
      </w:pPr>
      <w:r>
        <w:rPr>
          <w:rFonts w:ascii="Calibri" w:hAnsi="Calibri" w:cs="Calibri"/>
        </w:rPr>
        <w:t>Exercise canary/rollback, migration compatibility, key rotation, provider outage, queue backlog, and partial infrastructure failure.</w:t>
      </w:r>
    </w:p>
    <w:p>
      <w:pPr>
        <w:pStyle w:val="Heading3"/>
      </w:pPr>
      <w:r>
        <w:t>Exit evidence</w:t>
      </w:r>
    </w:p>
    <w:p>
      <w:pPr>
        <w:keepLines w:val="0"/>
      </w:pPr>
      <w:r>
        <w:rPr>
          <w:rFonts w:ascii="Calibri" w:hAnsi="Calibri" w:cs="Calibri"/>
          <w:b w:val="0"/>
          <w:i w:val="0"/>
        </w:rPr>
        <w:t>The platform sustains an agreed load profile within SLOs, survives expected failures without tenant/data corruption, and has no unresolved critical/high security findings.</w:t>
      </w:r>
    </w:p>
    <w:p>
      <w:pPr>
        <w:pStyle w:val="Heading2"/>
      </w:pPr>
      <w:r>
        <w:t>Phase 4 — Selective evolution (months 3–6)</w:t>
      </w:r>
    </w:p>
    <w:p>
      <w:pPr>
        <w:keepLines w:val="0"/>
      </w:pPr>
      <w:r>
        <w:rPr>
          <w:rFonts w:ascii="Calibri" w:hAnsi="Calibri" w:cs="Calibri"/>
          <w:b w:val="0"/>
          <w:i w:val="0"/>
        </w:rPr>
        <w:t>Keep the modular monolith unless evidence identifies a boundary. Payments/webhooks, notifications, and media processing are the most plausible first extractions because they have independent retry, security, provider, and scaling concerns. Extracting generic CRUD domains would add operational overhead without a clear return.</w:t>
      </w:r>
    </w:p>
    <w:p>
      <w:pPr>
        <w:pStyle w:val="Heading1"/>
      </w:pPr>
      <w:r>
        <w:t>17. Investor claim discipline</w:t>
      </w:r>
    </w:p>
    <w:p>
      <w:pPr>
        <w:pStyle w:val="Heading2"/>
      </w:pPr>
      <w:r>
        <w:t>Claims supportable from the reviewed code</w:t>
      </w:r>
    </w:p>
    <w:p>
      <w:pPr>
        <w:keepLines/>
        <w:numPr>
          <w:ilvl w:val="0"/>
          <w:numId w:val="10"/>
        </w:numPr>
        <w:spacing w:after="160" w:line="280" w:lineRule="auto"/>
      </w:pPr>
      <w:r>
        <w:rPr>
          <w:rFonts w:ascii="Calibri" w:hAnsi="Calibri" w:cs="Calibri"/>
        </w:rPr>
        <w:t>A multi-tenant rental-management platform with separate marketing, marketplace, tenant, administrator, and API surfaces.</w:t>
      </w:r>
    </w:p>
    <w:p>
      <w:pPr>
        <w:keepLines/>
        <w:numPr>
          <w:ilvl w:val="0"/>
          <w:numId w:val="10"/>
        </w:numPr>
        <w:spacing w:after="160" w:line="280" w:lineRule="auto"/>
      </w:pPr>
      <w:r>
        <w:rPr>
          <w:rFonts w:ascii="Calibri" w:hAnsi="Calibri" w:cs="Calibri"/>
        </w:rPr>
        <w:t>A broad rental domain covering fleet, pricing, reservations, customers, contracts/documents, insurance, damage, reviews, complaints, billing, subscription, and notifications.</w:t>
      </w:r>
    </w:p>
    <w:p>
      <w:pPr>
        <w:keepLines/>
        <w:numPr>
          <w:ilvl w:val="0"/>
          <w:numId w:val="10"/>
        </w:numPr>
        <w:spacing w:after="160" w:line="280" w:lineRule="auto"/>
      </w:pPr>
      <w:r>
        <w:rPr>
          <w:rFonts w:ascii="Calibri" w:hAnsi="Calibri" w:cs="Calibri"/>
        </w:rPr>
        <w:t>English, French, and Arabic user experiences with RTL design intent.</w:t>
      </w:r>
    </w:p>
    <w:p>
      <w:pPr>
        <w:keepLines/>
        <w:numPr>
          <w:ilvl w:val="0"/>
          <w:numId w:val="10"/>
        </w:numPr>
        <w:spacing w:after="160" w:line="280" w:lineRule="auto"/>
      </w:pPr>
      <w:r>
        <w:rPr>
          <w:rFonts w:ascii="Calibri" w:hAnsi="Calibri" w:cs="Calibri"/>
        </w:rPr>
        <w:t>Role- and tenant-aware access controls, administrator 2FA, cookie-CSRF protection, private file routes, and signed payment webhooks.</w:t>
      </w:r>
    </w:p>
    <w:p>
      <w:pPr>
        <w:keepLines/>
        <w:numPr>
          <w:ilvl w:val="0"/>
          <w:numId w:val="10"/>
        </w:numPr>
        <w:spacing w:after="160" w:line="280" w:lineRule="auto"/>
      </w:pPr>
      <w:r>
        <w:rPr>
          <w:rFonts w:ascii="Calibri" w:hAnsi="Calibri" w:cs="Calibri"/>
        </w:rPr>
        <w:t>Stripe, PayPal, and AmanPay integration code, with Stripe as the current subscription-checkout path.</w:t>
      </w:r>
    </w:p>
    <w:p>
      <w:pPr>
        <w:keepLines/>
        <w:numPr>
          <w:ilvl w:val="0"/>
          <w:numId w:val="10"/>
        </w:numPr>
        <w:spacing w:after="160" w:line="280" w:lineRule="auto"/>
      </w:pPr>
      <w:r>
        <w:rPr>
          <w:rFonts w:ascii="Calibri" w:hAnsi="Calibri" w:cs="Calibri"/>
        </w:rPr>
        <w:t>A substantial PostgreSQL/Prisma data model with 67 models, 60 enums, and 49 migration directories.</w:t>
      </w:r>
    </w:p>
    <w:p>
      <w:pPr>
        <w:keepLines/>
        <w:numPr>
          <w:ilvl w:val="0"/>
          <w:numId w:val="10"/>
        </w:numPr>
        <w:spacing w:after="160" w:line="280" w:lineRule="auto"/>
      </w:pPr>
      <w:r>
        <w:rPr>
          <w:rFonts w:ascii="Calibri" w:hAnsi="Calibri" w:cs="Calibri"/>
        </w:rPr>
        <w:t>Meaningful automated test source and modular API structure.</w:t>
      </w:r>
    </w:p>
    <w:p>
      <w:pPr>
        <w:pStyle w:val="Heading2"/>
      </w:pPr>
      <w:r>
        <w:t>Claims not supportable without more evidence</w:t>
      </w:r>
    </w:p>
    <w:p>
      <w:pPr>
        <w:keepLines/>
        <w:numPr>
          <w:ilvl w:val="0"/>
          <w:numId w:val="10"/>
        </w:numPr>
        <w:spacing w:after="160" w:line="280" w:lineRule="auto"/>
      </w:pPr>
      <w:r>
        <w:rPr>
          <w:rFonts w:ascii="Calibri" w:hAnsi="Calibri" w:cs="Calibri"/>
        </w:rPr>
        <w:t>Production ready, highly available, horizontally scalable, zero-downtime, or disaster-recovery tested.</w:t>
      </w:r>
    </w:p>
    <w:p>
      <w:pPr>
        <w:keepLines/>
        <w:numPr>
          <w:ilvl w:val="0"/>
          <w:numId w:val="10"/>
        </w:numPr>
        <w:spacing w:after="160" w:line="280" w:lineRule="auto"/>
      </w:pPr>
      <w:r>
        <w:rPr>
          <w:rFonts w:ascii="Calibri" w:hAnsi="Calibri" w:cs="Calibri"/>
        </w:rPr>
        <w:t>CI-green or reproducibly deployable from the supplied package.</w:t>
      </w:r>
    </w:p>
    <w:p>
      <w:pPr>
        <w:keepLines/>
        <w:numPr>
          <w:ilvl w:val="0"/>
          <w:numId w:val="10"/>
        </w:numPr>
        <w:spacing w:after="160" w:line="280" w:lineRule="auto"/>
      </w:pPr>
      <w:r>
        <w:rPr>
          <w:rFonts w:ascii="Calibri" w:hAnsi="Calibri" w:cs="Calibri"/>
        </w:rPr>
        <w:t>Complete OpenAPI coverage or a stable external API contract.</w:t>
      </w:r>
    </w:p>
    <w:p>
      <w:pPr>
        <w:keepLines/>
        <w:numPr>
          <w:ilvl w:val="0"/>
          <w:numId w:val="10"/>
        </w:numPr>
        <w:spacing w:after="160" w:line="280" w:lineRule="auto"/>
      </w:pPr>
      <w:r>
        <w:rPr>
          <w:rFonts w:ascii="Calibri" w:hAnsi="Calibri" w:cs="Calibri"/>
        </w:rPr>
        <w:t>Guaranteed email, push, SMS, or realtime notification delivery through the modeled outbox.</w:t>
      </w:r>
    </w:p>
    <w:p>
      <w:pPr>
        <w:keepLines/>
        <w:numPr>
          <w:ilvl w:val="0"/>
          <w:numId w:val="10"/>
        </w:numPr>
        <w:spacing w:after="160" w:line="280" w:lineRule="auto"/>
      </w:pPr>
      <w:r>
        <w:rPr>
          <w:rFonts w:ascii="Calibri" w:hAnsi="Calibri" w:cs="Calibri"/>
        </w:rPr>
        <w:t>Per-tenant container isolation or functioning tenant container orchestration.</w:t>
      </w:r>
    </w:p>
    <w:p>
      <w:pPr>
        <w:keepLines/>
        <w:numPr>
          <w:ilvl w:val="0"/>
          <w:numId w:val="10"/>
        </w:numPr>
        <w:spacing w:after="160" w:line="280" w:lineRule="auto"/>
      </w:pPr>
      <w:r>
        <w:rPr>
          <w:rFonts w:ascii="Calibri" w:hAnsi="Calibri" w:cs="Calibri"/>
        </w:rPr>
        <w:t>KYC, identity verification, or driver-license authenticity verification.</w:t>
      </w:r>
    </w:p>
    <w:p>
      <w:pPr>
        <w:keepLines/>
        <w:numPr>
          <w:ilvl w:val="0"/>
          <w:numId w:val="10"/>
        </w:numPr>
        <w:spacing w:after="160" w:line="280" w:lineRule="auto"/>
      </w:pPr>
      <w:r>
        <w:rPr>
          <w:rFonts w:ascii="Calibri" w:hAnsi="Calibri" w:cs="Calibri"/>
        </w:rPr>
        <w:t>Comprehensive privacy compliance, field encryption, data retention automation, or certified security posture.</w:t>
      </w:r>
    </w:p>
    <w:p>
      <w:pPr>
        <w:keepLines/>
        <w:numPr>
          <w:ilvl w:val="0"/>
          <w:numId w:val="10"/>
        </w:numPr>
        <w:spacing w:after="160" w:line="280" w:lineRule="auto"/>
      </w:pPr>
      <w:r>
        <w:rPr>
          <w:rFonts w:ascii="Calibri" w:hAnsi="Calibri" w:cs="Calibri"/>
        </w:rPr>
        <w:t>Payment-provider production certification, reconciliation accuracy, or PCI scope without external evidence.</w:t>
      </w:r>
    </w:p>
    <w:p>
      <w:pPr>
        <w:pStyle w:val="Heading2"/>
      </w:pPr>
      <w:r>
        <w:t>Technical diligence request list</w:t>
      </w:r>
    </w:p>
    <w:tbl>
      <w:tblPr>
        <w:tblW w:type="dxa" w:w="9360"/>
        <w:jc w:val="left"/>
        <w:tblLayout w:type="fixed"/>
        <w:tblLook w:firstColumn="1" w:firstRow="1" w:lastColumn="0" w:lastRow="0" w:noHBand="0" w:noVBand="1" w:val="04A0"/>
        <w:tblInd w:w="120" w:type="dxa"/>
        <w:tblBorders>
          <w:top w:val="single" w:sz="4" w:space="0" w:color="D0D5DD"/>
          <w:left w:val="single" w:sz="4" w:space="0" w:color="D0D5DD"/>
          <w:bottom w:val="single" w:sz="4" w:space="0" w:color="D0D5DD"/>
          <w:right w:val="single" w:sz="4" w:space="0" w:color="D0D5DD"/>
          <w:insideH w:val="single" w:sz="4" w:space="0" w:color="D0D5DD"/>
          <w:insideV w:val="single" w:sz="4" w:space="0" w:color="D0D5DD"/>
        </w:tblBorders>
      </w:tblPr>
      <w:tblGrid>
        <w:gridCol w:w="1500"/>
        <w:gridCol w:w="7860"/>
      </w:tblGrid>
      <w:tr>
        <w:trPr>
          <w:tblHeader w:val="true"/>
          <w:cantSplit/>
        </w:trPr>
        <w:tc>
          <w:tcPr>
            <w:tcW w:type="dxa" w:w="1500"/>
            <w:tcMar>
              <w:top w:w="80" w:type="dxa"/>
              <w:start w:w="120" w:type="dxa"/>
              <w:bottom w:w="80" w:type="dxa"/>
              <w:end w:w="120" w:type="dxa"/>
            </w:tcMar>
            <w:shd w:fill="F2F4F7"/>
            <w:vAlign w:val="center"/>
          </w:tcPr>
          <w:p>
            <w:pPr>
              <w:spacing w:before="0" w:after="0" w:line="252" w:lineRule="auto"/>
            </w:pPr>
            <w:r/>
            <w:r>
              <w:rPr>
                <w:rFonts w:ascii="Calibri" w:hAnsi="Calibri" w:cs="Calibri"/>
                <w:b/>
                <w:color w:val="0B2545"/>
                <w:sz w:val="17"/>
              </w:rPr>
              <w:t>Area</w:t>
            </w:r>
          </w:p>
        </w:tc>
        <w:tc>
          <w:tcPr>
            <w:tcW w:type="dxa" w:w="7860"/>
            <w:tcMar>
              <w:top w:w="80" w:type="dxa"/>
              <w:start w:w="120" w:type="dxa"/>
              <w:bottom w:w="80" w:type="dxa"/>
              <w:end w:w="120" w:type="dxa"/>
            </w:tcMar>
            <w:shd w:fill="F2F4F7"/>
            <w:vAlign w:val="center"/>
          </w:tcPr>
          <w:p>
            <w:pPr>
              <w:spacing w:before="0" w:after="0" w:line="252" w:lineRule="auto"/>
            </w:pPr>
            <w:r/>
            <w:r>
              <w:rPr>
                <w:rFonts w:ascii="Calibri" w:hAnsi="Calibri" w:cs="Calibri"/>
                <w:b/>
                <w:color w:val="0B2545"/>
                <w:sz w:val="17"/>
              </w:rPr>
              <w:t>Evidence to request</w:t>
            </w:r>
          </w:p>
        </w:tc>
      </w:tr>
      <w:tr>
        <w:trPr>
          <w:cantSplit/>
        </w:trPr>
        <w:tc>
          <w:tcPr>
            <w:tcW w:type="dxa" w:w="15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Repository</w:t>
            </w:r>
          </w:p>
        </w:tc>
        <w:tc>
          <w:tcPr>
            <w:tcW w:type="dxa" w:w="786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Canonical Git repository, complete history, branch protections, CODEOWNERS, current release tag, dependency update policy.</w:t>
            </w:r>
          </w:p>
        </w:tc>
      </w:tr>
      <w:tr>
        <w:trPr>
          <w:cantSplit/>
        </w:trPr>
        <w:tc>
          <w:tcPr>
            <w:tcW w:type="dxa" w:w="15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Delivery</w:t>
            </w:r>
          </w:p>
        </w:tc>
        <w:tc>
          <w:tcPr>
            <w:tcW w:type="dxa" w:w="786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CI/CD definitions, immutable image registry, SBOM/signing/provenance, deployment manifests, rollback evidence.</w:t>
            </w:r>
          </w:p>
        </w:tc>
      </w:tr>
      <w:tr>
        <w:trPr>
          <w:cantSplit/>
        </w:trPr>
        <w:tc>
          <w:tcPr>
            <w:tcW w:type="dxa" w:w="15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Production</w:t>
            </w:r>
          </w:p>
        </w:tc>
        <w:tc>
          <w:tcPr>
            <w:tcW w:type="dxa" w:w="786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Architecture/topology, cloud inventory, network/data flows, traffic, tenant count, fleet/reservation volume, capacity plan.</w:t>
            </w:r>
          </w:p>
        </w:tc>
      </w:tr>
      <w:tr>
        <w:trPr>
          <w:cantSplit/>
        </w:trPr>
        <w:tc>
          <w:tcPr>
            <w:tcW w:type="dxa" w:w="15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Reliability</w:t>
            </w:r>
          </w:p>
        </w:tc>
        <w:tc>
          <w:tcPr>
            <w:tcW w:type="dxa" w:w="786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SLOs, dashboards, alerts, incident history, postmortems, on-call, backup/restore tests, RPO/RTO.</w:t>
            </w:r>
          </w:p>
        </w:tc>
      </w:tr>
      <w:tr>
        <w:trPr>
          <w:cantSplit/>
        </w:trPr>
        <w:tc>
          <w:tcPr>
            <w:tcW w:type="dxa" w:w="15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Security</w:t>
            </w:r>
          </w:p>
        </w:tc>
        <w:tc>
          <w:tcPr>
            <w:tcW w:type="dxa" w:w="786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Threat model, pen-test/SAST/SCA results, secrets/KMS design, vulnerability SLAs, access reviews, audit-log coverage.</w:t>
            </w:r>
          </w:p>
        </w:tc>
      </w:tr>
      <w:tr>
        <w:trPr>
          <w:cantSplit/>
        </w:trPr>
        <w:tc>
          <w:tcPr>
            <w:tcW w:type="dxa" w:w="15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Privacy</w:t>
            </w:r>
          </w:p>
        </w:tc>
        <w:tc>
          <w:tcPr>
            <w:tcW w:type="dxa" w:w="786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Data inventory, retention/deletion, legal basis/consent, processor list, data locations, DSAR and breach procedures.</w:t>
            </w:r>
          </w:p>
        </w:tc>
      </w:tr>
      <w:tr>
        <w:trPr>
          <w:cantSplit/>
        </w:trPr>
        <w:tc>
          <w:tcPr>
            <w:tcW w:type="dxa" w:w="15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Finance</w:t>
            </w:r>
          </w:p>
        </w:tc>
        <w:tc>
          <w:tcPr>
            <w:tcW w:type="dxa" w:w="786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Provider contracts, PCI scope, reconciliation reports, refund controls, tax logic, catalog/entitlement source of truth.</w:t>
            </w:r>
          </w:p>
        </w:tc>
      </w:tr>
      <w:tr>
        <w:trPr>
          <w:cantSplit/>
        </w:trPr>
        <w:tc>
          <w:tcPr>
            <w:tcW w:type="dxa" w:w="15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Quality</w:t>
            </w:r>
          </w:p>
        </w:tc>
        <w:tc>
          <w:tcPr>
            <w:tcW w:type="dxa" w:w="786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Recent CI runs, test/coverage trend, flaky-test list, performance/load results, supported browser/runtime matrix.</w:t>
            </w:r>
          </w:p>
        </w:tc>
      </w:tr>
      <w:tr>
        <w:trPr>
          <w:cantSplit/>
        </w:trPr>
        <w:tc>
          <w:tcPr>
            <w:tcW w:type="dxa" w:w="15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Roadmap</w:t>
            </w:r>
          </w:p>
        </w:tc>
        <w:tc>
          <w:tcPr>
            <w:tcW w:type="dxa" w:w="786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Named owners, budget, dates, and exit evidence for every P0/P1 item in this report.</w:t>
            </w:r>
          </w:p>
        </w:tc>
      </w:tr>
    </w:tbl>
    <w:p>
      <w:pPr>
        <w:spacing w:after="20"/>
      </w:pPr>
    </w:p>
    <w:p>
      <w:pPr>
        <w:pStyle w:val="Heading2"/>
      </w:pPr>
      <w:r>
        <w:t>Valuation relevance</w:t>
      </w:r>
    </w:p>
    <w:p>
      <w:pPr>
        <w:keepLines w:val="0"/>
      </w:pPr>
      <w:r>
        <w:rPr>
          <w:rFonts w:ascii="Calibri" w:hAnsi="Calibri" w:cs="Calibri"/>
          <w:b w:val="0"/>
          <w:i w:val="0"/>
        </w:rPr>
        <w:t>The codebase reduces product-discovery and domain-model risk: a large amount of workflow and schema work already exists. It does not eliminate execution risk. Near-term value depends on whether the team can turn the present system into a reproducible production asset, prove correctness at the commercial and tenant boundaries, and operate it with measured reliability. Capital should be tied to evidence-producing milestones rather than feature-count milestones.</w:t>
      </w:r>
    </w:p>
    <w:p>
      <w:pPr>
        <w:keepLines/>
        <w:spacing w:before="100" w:after="200"/>
        <w:ind w:left="173" w:right="115"/>
        <w:shd w:fill="EAF5EF"/>
        <w:pBdr>
          <w:left w:val="single" w:sz="20" w:space="8" w:color="1F5E46"/>
        </w:pBdr>
      </w:pPr>
      <w:r>
        <w:rPr>
          <w:rFonts w:ascii="Calibri" w:hAnsi="Calibri" w:cs="Calibri"/>
          <w:b/>
          <w:color w:val="1F5E46"/>
        </w:rPr>
        <w:t xml:space="preserve">Investment thesis in one sentence  </w:t>
      </w:r>
      <w:r>
        <w:rPr>
          <w:rFonts w:ascii="Calibri" w:hAnsi="Calibri" w:cs="Calibri"/>
          <w:color w:val="101828"/>
        </w:rPr>
        <w:t>RentalDriveGo has credible product substance and an appropriate core architecture, but the investable next step is operational hardening and proof—not architectural reinvention or additional surface-area expansion.</w:t>
      </w:r>
    </w:p>
    <w:p>
      <w:r>
        <w:br w:type="page"/>
      </w:r>
    </w:p>
    <w:p>
      <w:pPr>
        <w:pStyle w:val="Heading1"/>
      </w:pPr>
      <w:r>
        <w:t>Appendix A — Technology stack</w:t>
      </w:r>
    </w:p>
    <w:tbl>
      <w:tblPr>
        <w:tblW w:type="dxa" w:w="9360"/>
        <w:jc w:val="left"/>
        <w:tblLayout w:type="fixed"/>
        <w:tblLook w:firstColumn="1" w:firstRow="1" w:lastColumn="0" w:lastRow="0" w:noHBand="0" w:noVBand="1" w:val="04A0"/>
        <w:tblInd w:w="120" w:type="dxa"/>
        <w:tblBorders>
          <w:top w:val="single" w:sz="4" w:space="0" w:color="D0D5DD"/>
          <w:left w:val="single" w:sz="4" w:space="0" w:color="D0D5DD"/>
          <w:bottom w:val="single" w:sz="4" w:space="0" w:color="D0D5DD"/>
          <w:right w:val="single" w:sz="4" w:space="0" w:color="D0D5DD"/>
          <w:insideH w:val="single" w:sz="4" w:space="0" w:color="D0D5DD"/>
          <w:insideV w:val="single" w:sz="4" w:space="0" w:color="D0D5DD"/>
        </w:tblBorders>
      </w:tblPr>
      <w:tblGrid>
        <w:gridCol w:w="1500"/>
        <w:gridCol w:w="2600"/>
        <w:gridCol w:w="5260"/>
      </w:tblGrid>
      <w:tr>
        <w:trPr>
          <w:tblHeader w:val="true"/>
          <w:cantSplit/>
        </w:trPr>
        <w:tc>
          <w:tcPr>
            <w:tcW w:type="dxa" w:w="1500"/>
            <w:tcMar>
              <w:top w:w="80" w:type="dxa"/>
              <w:start w:w="120" w:type="dxa"/>
              <w:bottom w:w="80" w:type="dxa"/>
              <w:end w:w="120" w:type="dxa"/>
            </w:tcMar>
            <w:shd w:fill="F2F4F7"/>
            <w:vAlign w:val="center"/>
          </w:tcPr>
          <w:p>
            <w:pPr>
              <w:spacing w:before="0" w:after="0" w:line="252" w:lineRule="auto"/>
            </w:pPr>
            <w:r/>
            <w:r>
              <w:rPr>
                <w:rFonts w:ascii="Calibri" w:hAnsi="Calibri" w:cs="Calibri"/>
                <w:b/>
                <w:color w:val="0B2545"/>
                <w:sz w:val="17"/>
              </w:rPr>
              <w:t>Layer</w:t>
            </w:r>
          </w:p>
        </w:tc>
        <w:tc>
          <w:tcPr>
            <w:tcW w:type="dxa" w:w="2600"/>
            <w:tcMar>
              <w:top w:w="80" w:type="dxa"/>
              <w:start w:w="120" w:type="dxa"/>
              <w:bottom w:w="80" w:type="dxa"/>
              <w:end w:w="120" w:type="dxa"/>
            </w:tcMar>
            <w:shd w:fill="F2F4F7"/>
            <w:vAlign w:val="center"/>
          </w:tcPr>
          <w:p>
            <w:pPr>
              <w:spacing w:before="0" w:after="0" w:line="252" w:lineRule="auto"/>
            </w:pPr>
            <w:r/>
            <w:r>
              <w:rPr>
                <w:rFonts w:ascii="Calibri" w:hAnsi="Calibri" w:cs="Calibri"/>
                <w:b/>
                <w:color w:val="0B2545"/>
                <w:sz w:val="17"/>
              </w:rPr>
              <w:t>Technology</w:t>
            </w:r>
          </w:p>
        </w:tc>
        <w:tc>
          <w:tcPr>
            <w:tcW w:type="dxa" w:w="5260"/>
            <w:tcMar>
              <w:top w:w="80" w:type="dxa"/>
              <w:start w:w="120" w:type="dxa"/>
              <w:bottom w:w="80" w:type="dxa"/>
              <w:end w:w="120" w:type="dxa"/>
            </w:tcMar>
            <w:shd w:fill="F2F4F7"/>
            <w:vAlign w:val="center"/>
          </w:tcPr>
          <w:p>
            <w:pPr>
              <w:spacing w:before="0" w:after="0" w:line="252" w:lineRule="auto"/>
            </w:pPr>
            <w:r/>
            <w:r>
              <w:rPr>
                <w:rFonts w:ascii="Calibri" w:hAnsi="Calibri" w:cs="Calibri"/>
                <w:b/>
                <w:color w:val="0B2545"/>
                <w:sz w:val="17"/>
              </w:rPr>
              <w:t>Role / note</w:t>
            </w:r>
          </w:p>
        </w:tc>
      </w:tr>
      <w:tr>
        <w:trPr>
          <w:cantSplit/>
        </w:trPr>
        <w:tc>
          <w:tcPr>
            <w:tcW w:type="dxa" w:w="15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Language</w:t>
            </w:r>
          </w:p>
        </w:tc>
        <w:tc>
          <w:tcPr>
            <w:tcW w:type="dxa" w:w="26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TypeScript</w:t>
            </w:r>
          </w:p>
        </w:tc>
        <w:tc>
          <w:tcPr>
            <w:tcW w:type="dxa" w:w="526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Primary application and API language</w:t>
            </w:r>
          </w:p>
        </w:tc>
      </w:tr>
      <w:tr>
        <w:trPr>
          <w:cantSplit/>
        </w:trPr>
        <w:tc>
          <w:tcPr>
            <w:tcW w:type="dxa" w:w="15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Web framework</w:t>
            </w:r>
          </w:p>
        </w:tc>
        <w:tc>
          <w:tcPr>
            <w:tcW w:type="dxa" w:w="26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Next.js 16.2.9</w:t>
            </w:r>
          </w:p>
        </w:tc>
        <w:tc>
          <w:tcPr>
            <w:tcW w:type="dxa" w:w="526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Four frontend applications</w:t>
            </w:r>
          </w:p>
        </w:tc>
      </w:tr>
      <w:tr>
        <w:trPr>
          <w:cantSplit/>
        </w:trPr>
        <w:tc>
          <w:tcPr>
            <w:tcW w:type="dxa" w:w="15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UI runtime</w:t>
            </w:r>
          </w:p>
        </w:tc>
        <w:tc>
          <w:tcPr>
            <w:tcW w:type="dxa" w:w="26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React 19.2 frontends</w:t>
            </w:r>
          </w:p>
        </w:tc>
        <w:tc>
          <w:tcPr>
            <w:tcW w:type="dxa" w:w="526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API also declares React 18 for PDF rendering path</w:t>
            </w:r>
          </w:p>
        </w:tc>
      </w:tr>
      <w:tr>
        <w:trPr>
          <w:cantSplit/>
        </w:trPr>
        <w:tc>
          <w:tcPr>
            <w:tcW w:type="dxa" w:w="15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Backend</w:t>
            </w:r>
          </w:p>
        </w:tc>
        <w:tc>
          <w:tcPr>
            <w:tcW w:type="dxa" w:w="26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Express 4.19.2</w:t>
            </w:r>
          </w:p>
        </w:tc>
        <w:tc>
          <w:tcPr>
            <w:tcW w:type="dxa" w:w="526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Modular REST API</w:t>
            </w:r>
          </w:p>
        </w:tc>
      </w:tr>
      <w:tr>
        <w:trPr>
          <w:cantSplit/>
        </w:trPr>
        <w:tc>
          <w:tcPr>
            <w:tcW w:type="dxa" w:w="15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Validation</w:t>
            </w:r>
          </w:p>
        </w:tc>
        <w:tc>
          <w:tcPr>
            <w:tcW w:type="dxa" w:w="26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Zod 3.23 / homepage Zod 4.4</w:t>
            </w:r>
          </w:p>
        </w:tc>
        <w:tc>
          <w:tcPr>
            <w:tcW w:type="dxa" w:w="526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Request and configuration validation; version divergence</w:t>
            </w:r>
          </w:p>
        </w:tc>
      </w:tr>
      <w:tr>
        <w:trPr>
          <w:cantSplit/>
        </w:trPr>
        <w:tc>
          <w:tcPr>
            <w:tcW w:type="dxa" w:w="15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Database</w:t>
            </w:r>
          </w:p>
        </w:tc>
        <w:tc>
          <w:tcPr>
            <w:tcW w:type="dxa" w:w="26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PostgreSQL + Prisma 5.13</w:t>
            </w:r>
          </w:p>
        </w:tc>
        <w:tc>
          <w:tcPr>
            <w:tcW w:type="dxa" w:w="526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Relational system of record and migrations</w:t>
            </w:r>
          </w:p>
        </w:tc>
      </w:tr>
      <w:tr>
        <w:trPr>
          <w:cantSplit/>
        </w:trPr>
        <w:tc>
          <w:tcPr>
            <w:tcW w:type="dxa" w:w="15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Realtime/cache</w:t>
            </w:r>
          </w:p>
        </w:tc>
        <w:tc>
          <w:tcPr>
            <w:tcW w:type="dxa" w:w="26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Socket.IO 4.7 + ioredis 5.3</w:t>
            </w:r>
          </w:p>
        </w:tc>
        <w:tc>
          <w:tcPr>
            <w:tcW w:type="dxa" w:w="526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Realtime delivery and Redis pub/sub</w:t>
            </w:r>
          </w:p>
        </w:tc>
      </w:tr>
      <w:tr>
        <w:trPr>
          <w:cantSplit/>
        </w:trPr>
        <w:tc>
          <w:tcPr>
            <w:tcW w:type="dxa" w:w="15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Scheduling</w:t>
            </w:r>
          </w:p>
        </w:tc>
        <w:tc>
          <w:tcPr>
            <w:tcW w:type="dxa" w:w="26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node-cron 4.5</w:t>
            </w:r>
          </w:p>
        </w:tc>
        <w:tc>
          <w:tcPr>
            <w:tcW w:type="dxa" w:w="526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Embedded license/subscription/reminder/maintenance jobs</w:t>
            </w:r>
          </w:p>
        </w:tc>
      </w:tr>
      <w:tr>
        <w:trPr>
          <w:cantSplit/>
        </w:trPr>
        <w:tc>
          <w:tcPr>
            <w:tcW w:type="dxa" w:w="15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Payments</w:t>
            </w:r>
          </w:p>
        </w:tc>
        <w:tc>
          <w:tcPr>
            <w:tcW w:type="dxa" w:w="26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Stripe 22, PayPal REST, AmanPay HMAC</w:t>
            </w:r>
          </w:p>
        </w:tc>
        <w:tc>
          <w:tcPr>
            <w:tcW w:type="dxa" w:w="526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Checkout/refund/webhooks; subscription checkout currently Stripe</w:t>
            </w:r>
          </w:p>
        </w:tc>
      </w:tr>
      <w:tr>
        <w:trPr>
          <w:cantSplit/>
        </w:trPr>
        <w:tc>
          <w:tcPr>
            <w:tcW w:type="dxa" w:w="15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Email</w:t>
            </w:r>
          </w:p>
        </w:tc>
        <w:tc>
          <w:tcPr>
            <w:tcW w:type="dxa" w:w="26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Resend 3.2 + Nodemailer 9</w:t>
            </w:r>
          </w:p>
        </w:tc>
        <w:tc>
          <w:tcPr>
            <w:tcW w:type="dxa" w:w="526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Primary/fallback direct transactional send</w:t>
            </w:r>
          </w:p>
        </w:tc>
      </w:tr>
      <w:tr>
        <w:trPr>
          <w:cantSplit/>
        </w:trPr>
        <w:tc>
          <w:tcPr>
            <w:tcW w:type="dxa" w:w="15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Files</w:t>
            </w:r>
          </w:p>
        </w:tc>
        <w:tc>
          <w:tcPr>
            <w:tcW w:type="dxa" w:w="26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Multer + local filesystem</w:t>
            </w:r>
          </w:p>
        </w:tc>
        <w:tc>
          <w:tcPr>
            <w:tcW w:type="dxa" w:w="526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Validated public/private upload paths</w:t>
            </w:r>
          </w:p>
        </w:tc>
      </w:tr>
      <w:tr>
        <w:trPr>
          <w:cantSplit/>
        </w:trPr>
        <w:tc>
          <w:tcPr>
            <w:tcW w:type="dxa" w:w="15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PDF</w:t>
            </w:r>
          </w:p>
        </w:tc>
        <w:tc>
          <w:tcPr>
            <w:tcW w:type="dxa" w:w="26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@react-pdf/renderer 3.4</w:t>
            </w:r>
          </w:p>
        </w:tc>
        <w:tc>
          <w:tcPr>
            <w:tcW w:type="dxa" w:w="526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Contract and invoice document generation</w:t>
            </w:r>
          </w:p>
        </w:tc>
      </w:tr>
      <w:tr>
        <w:trPr>
          <w:cantSplit/>
        </w:trPr>
        <w:tc>
          <w:tcPr>
            <w:tcW w:type="dxa" w:w="15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CSS</w:t>
            </w:r>
          </w:p>
        </w:tc>
        <w:tc>
          <w:tcPr>
            <w:tcW w:type="dxa" w:w="26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CSS Modules + Tailwind 3.4</w:t>
            </w:r>
          </w:p>
        </w:tc>
        <w:tc>
          <w:tcPr>
            <w:tcW w:type="dxa" w:w="526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Split frontend styling approaches</w:t>
            </w:r>
          </w:p>
        </w:tc>
      </w:tr>
      <w:tr>
        <w:trPr>
          <w:cantSplit/>
        </w:trPr>
        <w:tc>
          <w:tcPr>
            <w:tcW w:type="dxa" w:w="15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Charts/icons</w:t>
            </w:r>
          </w:p>
        </w:tc>
        <w:tc>
          <w:tcPr>
            <w:tcW w:type="dxa" w:w="26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Recharts 2.12 + lucide-react 0.376</w:t>
            </w:r>
          </w:p>
        </w:tc>
        <w:tc>
          <w:tcPr>
            <w:tcW w:type="dxa" w:w="526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Dashboard/admin visualization and icons</w:t>
            </w:r>
          </w:p>
        </w:tc>
      </w:tr>
      <w:tr>
        <w:trPr>
          <w:cantSplit/>
        </w:trPr>
        <w:tc>
          <w:tcPr>
            <w:tcW w:type="dxa" w:w="15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Testing</w:t>
            </w:r>
          </w:p>
        </w:tc>
        <w:tc>
          <w:tcPr>
            <w:tcW w:type="dxa" w:w="26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Vitest 2.1, Testing Library, Playwright, axe</w:t>
            </w:r>
          </w:p>
        </w:tc>
        <w:tc>
          <w:tcPr>
            <w:tcW w:type="dxa" w:w="526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Unit/integration/browser/accessibility intent</w:t>
            </w:r>
          </w:p>
        </w:tc>
      </w:tr>
      <w:tr>
        <w:trPr>
          <w:cantSplit/>
        </w:trPr>
        <w:tc>
          <w:tcPr>
            <w:tcW w:type="dxa" w:w="15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Build</w:t>
            </w:r>
          </w:p>
        </w:tc>
        <w:tc>
          <w:tcPr>
            <w:tcW w:type="dxa" w:w="26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npm workspaces + Turbo 2.10</w:t>
            </w:r>
          </w:p>
        </w:tc>
        <w:tc>
          <w:tcPr>
            <w:tcW w:type="dxa" w:w="526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Root orchestration incomplete in supplied archive</w:t>
            </w:r>
          </w:p>
        </w:tc>
      </w:tr>
    </w:tbl>
    <w:p>
      <w:pPr>
        <w:spacing w:after="20"/>
      </w:pPr>
    </w:p>
    <w:p>
      <w:pPr>
        <w:pStyle w:val="Heading1"/>
      </w:pPr>
      <w:r>
        <w:t>Appendix B — Complete database model catalog</w:t>
      </w:r>
    </w:p>
    <w:tbl>
      <w:tblPr>
        <w:tblW w:type="dxa" w:w="9360"/>
        <w:jc w:val="left"/>
        <w:tblLayout w:type="fixed"/>
        <w:tblLook w:firstColumn="1" w:firstRow="1" w:lastColumn="0" w:lastRow="0" w:noHBand="0" w:noVBand="1" w:val="04A0"/>
        <w:tblInd w:w="120" w:type="dxa"/>
        <w:tblBorders>
          <w:top w:val="single" w:sz="4" w:space="0" w:color="D0D5DD"/>
          <w:left w:val="single" w:sz="4" w:space="0" w:color="D0D5DD"/>
          <w:bottom w:val="single" w:sz="4" w:space="0" w:color="D0D5DD"/>
          <w:right w:val="single" w:sz="4" w:space="0" w:color="D0D5DD"/>
          <w:insideH w:val="single" w:sz="4" w:space="0" w:color="D0D5DD"/>
          <w:insideV w:val="single" w:sz="4" w:space="0" w:color="D0D5DD"/>
        </w:tblBorders>
      </w:tblPr>
      <w:tblGrid>
        <w:gridCol w:w="1900"/>
        <w:gridCol w:w="7460"/>
      </w:tblGrid>
      <w:tr>
        <w:trPr>
          <w:tblHeader w:val="true"/>
          <w:cantSplit/>
        </w:trPr>
        <w:tc>
          <w:tcPr>
            <w:tcW w:type="dxa" w:w="1900"/>
            <w:tcMar>
              <w:top w:w="80" w:type="dxa"/>
              <w:start w:w="120" w:type="dxa"/>
              <w:bottom w:w="80" w:type="dxa"/>
              <w:end w:w="120" w:type="dxa"/>
            </w:tcMar>
            <w:shd w:fill="F2F4F7"/>
            <w:vAlign w:val="center"/>
          </w:tcPr>
          <w:p>
            <w:pPr>
              <w:spacing w:before="0" w:after="0" w:line="252" w:lineRule="auto"/>
            </w:pPr>
            <w:r/>
            <w:r>
              <w:rPr>
                <w:rFonts w:ascii="Calibri" w:hAnsi="Calibri" w:cs="Calibri"/>
                <w:b/>
                <w:color w:val="0B2545"/>
                <w:sz w:val="17"/>
              </w:rPr>
              <w:t>Domain</w:t>
            </w:r>
          </w:p>
        </w:tc>
        <w:tc>
          <w:tcPr>
            <w:tcW w:type="dxa" w:w="7460"/>
            <w:tcMar>
              <w:top w:w="80" w:type="dxa"/>
              <w:start w:w="120" w:type="dxa"/>
              <w:bottom w:w="80" w:type="dxa"/>
              <w:end w:w="120" w:type="dxa"/>
            </w:tcMar>
            <w:shd w:fill="F2F4F7"/>
            <w:vAlign w:val="center"/>
          </w:tcPr>
          <w:p>
            <w:pPr>
              <w:spacing w:before="0" w:after="0" w:line="252" w:lineRule="auto"/>
            </w:pPr>
            <w:r/>
            <w:r>
              <w:rPr>
                <w:rFonts w:ascii="Calibri" w:hAnsi="Calibri" w:cs="Calibri"/>
                <w:b/>
                <w:color w:val="0B2545"/>
                <w:sz w:val="17"/>
              </w:rPr>
              <w:t>Prisma models</w:t>
            </w:r>
          </w:p>
        </w:tc>
      </w:tr>
      <w:tr>
        <w:trPr>
          <w:cantSplit/>
        </w:trPr>
        <w:tc>
          <w:tcPr>
            <w:tcW w:type="dxa" w:w="19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Tenant and access</w:t>
            </w:r>
          </w:p>
        </w:tc>
        <w:tc>
          <w:tcPr>
            <w:tcW w:type="dxa" w:w="746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Company, CompanyApiKey, BrandSettings, Employee</w:t>
            </w:r>
          </w:p>
        </w:tc>
      </w:tr>
      <w:tr>
        <w:trPr>
          <w:cantSplit/>
        </w:trPr>
        <w:tc>
          <w:tcPr>
            <w:tcW w:type="dxa" w:w="19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Subscription lifecycle</w:t>
            </w:r>
          </w:p>
        </w:tc>
        <w:tc>
          <w:tcPr>
            <w:tcW w:type="dxa" w:w="746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Subscription, SubscriptionEvent, SubscriptionInvoice, PaymentAttempt</w:t>
            </w:r>
          </w:p>
        </w:tc>
      </w:tr>
      <w:tr>
        <w:trPr>
          <w:cantSplit/>
        </w:trPr>
        <w:tc>
          <w:tcPr>
            <w:tcW w:type="dxa" w:w="19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Billing</w:t>
            </w:r>
          </w:p>
        </w:tc>
        <w:tc>
          <w:tcPr>
            <w:tcW w:type="dxa" w:w="746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BillingAccount, BillingPaymentMethod, BillingInvoice, BillingInvoiceLineItem, BillingPaymentIntent, BillingPaymentAttempt, BillingCreditBalance, BillingCreditLedgerEntry, BillingCreditNote, BillingRefund, BillingTaxRecord, BillingEvent</w:t>
            </w:r>
          </w:p>
        </w:tc>
      </w:tr>
      <w:tr>
        <w:trPr>
          <w:cantSplit/>
        </w:trPr>
        <w:tc>
          <w:tcPr>
            <w:tcW w:type="dxa" w:w="19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Fleet and pricing</w:t>
            </w:r>
          </w:p>
        </w:tc>
        <w:tc>
          <w:tcPr>
            <w:tcW w:type="dxa" w:w="746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Vehicle, VehiclePricingConfiguration, VehiclePricingRule, VehiclePriceHistory, MaintenanceLog, VehicleCalendarBlock, PricingRule</w:t>
            </w:r>
          </w:p>
        </w:tc>
      </w:tr>
      <w:tr>
        <w:trPr>
          <w:cantSplit/>
        </w:trPr>
        <w:tc>
          <w:tcPr>
            <w:tcW w:type="dxa" w:w="19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Offers and marketplace</w:t>
            </w:r>
          </w:p>
        </w:tc>
        <w:tc>
          <w:tcPr>
            <w:tcW w:type="dxa" w:w="746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Offer, OfferVehicle, Renter, RenterSavedCompany, CarplaceFunnelEvent</w:t>
            </w:r>
          </w:p>
        </w:tc>
      </w:tr>
      <w:tr>
        <w:trPr>
          <w:cantSplit/>
        </w:trPr>
        <w:tc>
          <w:tcPr>
            <w:tcW w:type="dxa" w:w="19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Customers and reservations</w:t>
            </w:r>
          </w:p>
        </w:tc>
        <w:tc>
          <w:tcPr>
            <w:tcW w:type="dxa" w:w="746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Customer, Reservation, ReservationPublicAccess, AdditionalDriver, ReservationPhoto</w:t>
            </w:r>
          </w:p>
        </w:tc>
      </w:tr>
      <w:tr>
        <w:trPr>
          <w:cantSplit/>
        </w:trPr>
        <w:tc>
          <w:tcPr>
            <w:tcW w:type="dxa" w:w="19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Payments and webhooks</w:t>
            </w:r>
          </w:p>
        </w:tc>
        <w:tc>
          <w:tcPr>
            <w:tcW w:type="dxa" w:w="746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WebhookEvent, RentalPayment</w:t>
            </w:r>
          </w:p>
        </w:tc>
      </w:tr>
      <w:tr>
        <w:trPr>
          <w:cantSplit/>
        </w:trPr>
        <w:tc>
          <w:tcPr>
            <w:tcW w:type="dxa" w:w="19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Insurance and damage</w:t>
            </w:r>
          </w:p>
        </w:tc>
        <w:tc>
          <w:tcPr>
            <w:tcW w:type="dxa" w:w="746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InsurancePolicy, ReservationInsurance, DamageReport, DamageInspection, DamagePoint</w:t>
            </w:r>
          </w:p>
        </w:tc>
      </w:tr>
      <w:tr>
        <w:trPr>
          <w:cantSplit/>
        </w:trPr>
        <w:tc>
          <w:tcPr>
            <w:tcW w:type="dxa" w:w="19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Reviews and support</w:t>
            </w:r>
          </w:p>
        </w:tc>
        <w:tc>
          <w:tcPr>
            <w:tcW w:type="dxa" w:w="746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Review, Complaint</w:t>
            </w:r>
          </w:p>
        </w:tc>
      </w:tr>
      <w:tr>
        <w:trPr>
          <w:cantSplit/>
        </w:trPr>
        <w:tc>
          <w:tcPr>
            <w:tcW w:type="dxa" w:w="19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Notifications</w:t>
            </w:r>
          </w:p>
        </w:tc>
        <w:tc>
          <w:tcPr>
            <w:tcW w:type="dxa" w:w="746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Notification, NotificationEvent, NotificationRecipient, NotificationDelivery, NotificationOutbox, NotificationTemplate, NotificationPreference, CompanyNotificationPreference</w:t>
            </w:r>
          </w:p>
        </w:tc>
      </w:tr>
      <w:tr>
        <w:trPr>
          <w:cantSplit/>
        </w:trPr>
        <w:tc>
          <w:tcPr>
            <w:tcW w:type="dxa" w:w="19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Contracts/accounting</w:t>
            </w:r>
          </w:p>
        </w:tc>
        <w:tc>
          <w:tcPr>
            <w:tcW w:type="dxa" w:w="746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ContractSettings, AccountingSettings</w:t>
            </w:r>
          </w:p>
        </w:tc>
      </w:tr>
      <w:tr>
        <w:trPr>
          <w:cantSplit/>
        </w:trPr>
        <w:tc>
          <w:tcPr>
            <w:tcW w:type="dxa" w:w="19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Platform administration</w:t>
            </w:r>
          </w:p>
        </w:tc>
        <w:tc>
          <w:tcPr>
            <w:tcW w:type="dxa" w:w="746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AdminUser, AdminPermission, AdminRecoveryCode, AuditLog, PricingConfig, PlanFeature, MenuItem, SubscriptionMenuItem, CompanyMenuItem, MenuItemRoleVisibility, PricingPromotion</w:t>
            </w:r>
          </w:p>
        </w:tc>
      </w:tr>
    </w:tbl>
    <w:p>
      <w:pPr>
        <w:spacing w:after="20"/>
      </w:pPr>
    </w:p>
    <w:p>
      <w:pPr>
        <w:keepLines w:val="0"/>
      </w:pPr>
      <w:r>
        <w:rPr>
          <w:rFonts w:ascii="Calibri" w:hAnsi="Calibri" w:cs="Calibri"/>
          <w:b w:val="0"/>
          <w:i/>
          <w:color w:val="667085"/>
          <w:sz w:val="18"/>
        </w:rPr>
        <w:t>Count: 67 models. The schema also defines 60 enums for roles, status, plan, payment, delivery, operational, and configuration state.</w:t>
      </w:r>
    </w:p>
    <w:p>
      <w:r>
        <w:br w:type="page"/>
      </w:r>
    </w:p>
    <w:p>
      <w:pPr>
        <w:pStyle w:val="Heading1"/>
      </w:pPr>
      <w:r>
        <w:t>Appendix C — API route-family inventory</w:t>
      </w:r>
    </w:p>
    <w:tbl>
      <w:tblPr>
        <w:tblW w:type="dxa" w:w="9360"/>
        <w:jc w:val="left"/>
        <w:tblLayout w:type="fixed"/>
        <w:tblLook w:firstColumn="1" w:firstRow="1" w:lastColumn="0" w:lastRow="0" w:noHBand="0" w:noVBand="1" w:val="04A0"/>
        <w:tblInd w:w="120" w:type="dxa"/>
        <w:tblBorders>
          <w:top w:val="single" w:sz="4" w:space="0" w:color="D0D5DD"/>
          <w:left w:val="single" w:sz="4" w:space="0" w:color="D0D5DD"/>
          <w:bottom w:val="single" w:sz="4" w:space="0" w:color="D0D5DD"/>
          <w:right w:val="single" w:sz="4" w:space="0" w:color="D0D5DD"/>
          <w:insideH w:val="single" w:sz="4" w:space="0" w:color="D0D5DD"/>
          <w:insideV w:val="single" w:sz="4" w:space="0" w:color="D0D5DD"/>
        </w:tblBorders>
      </w:tblPr>
      <w:tblGrid>
        <w:gridCol w:w="6600"/>
        <w:gridCol w:w="2760"/>
      </w:tblGrid>
      <w:tr>
        <w:trPr>
          <w:tblHeader w:val="true"/>
          <w:cantSplit/>
        </w:trPr>
        <w:tc>
          <w:tcPr>
            <w:tcW w:type="dxa" w:w="6600"/>
            <w:tcMar>
              <w:top w:w="80" w:type="dxa"/>
              <w:start w:w="120" w:type="dxa"/>
              <w:bottom w:w="80" w:type="dxa"/>
              <w:end w:w="120" w:type="dxa"/>
            </w:tcMar>
            <w:shd w:fill="F2F4F7"/>
            <w:vAlign w:val="center"/>
          </w:tcPr>
          <w:p>
            <w:pPr>
              <w:spacing w:before="0" w:after="0" w:line="252" w:lineRule="auto"/>
            </w:pPr>
            <w:r/>
            <w:r>
              <w:rPr>
                <w:rFonts w:ascii="Calibri" w:hAnsi="Calibri" w:cs="Calibri"/>
                <w:b/>
                <w:color w:val="0B2545"/>
                <w:sz w:val="18"/>
              </w:rPr>
              <w:t>Route family</w:t>
            </w:r>
          </w:p>
        </w:tc>
        <w:tc>
          <w:tcPr>
            <w:tcW w:type="dxa" w:w="2760"/>
            <w:tcMar>
              <w:top w:w="80" w:type="dxa"/>
              <w:start w:w="120" w:type="dxa"/>
              <w:bottom w:w="80" w:type="dxa"/>
              <w:end w:w="120" w:type="dxa"/>
            </w:tcMar>
            <w:shd w:fill="F2F4F7"/>
            <w:vAlign w:val="center"/>
          </w:tcPr>
          <w:p>
            <w:pPr>
              <w:spacing w:before="0" w:after="0" w:line="252" w:lineRule="auto"/>
            </w:pPr>
            <w:r/>
            <w:r>
              <w:rPr>
                <w:rFonts w:ascii="Calibri" w:hAnsi="Calibri" w:cs="Calibri"/>
                <w:b/>
                <w:color w:val="0B2545"/>
                <w:sz w:val="18"/>
              </w:rPr>
              <w:t>Runtime handlers</w:t>
            </w:r>
          </w:p>
        </w:tc>
      </w:tr>
      <w:tr>
        <w:trPr>
          <w:cantSplit/>
        </w:trPr>
        <w:tc>
          <w:tcPr>
            <w:tcW w:type="dxa" w:w="66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admin</w:t>
            </w:r>
          </w:p>
        </w:tc>
        <w:tc>
          <w:tcPr>
            <w:tcW w:type="dxa" w:w="276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70</w:t>
            </w:r>
          </w:p>
        </w:tc>
      </w:tr>
      <w:tr>
        <w:trPr>
          <w:cantSplit/>
        </w:trPr>
        <w:tc>
          <w:tcPr>
            <w:tcW w:type="dxa" w:w="66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analytics</w:t>
            </w:r>
          </w:p>
        </w:tc>
        <w:tc>
          <w:tcPr>
            <w:tcW w:type="dxa" w:w="276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4</w:t>
            </w:r>
          </w:p>
        </w:tc>
      </w:tr>
      <w:tr>
        <w:trPr>
          <w:cantSplit/>
        </w:trPr>
        <w:tc>
          <w:tcPr>
            <w:tcW w:type="dxa" w:w="66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auth/account</w:t>
            </w:r>
          </w:p>
        </w:tc>
        <w:tc>
          <w:tcPr>
            <w:tcW w:type="dxa" w:w="276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1</w:t>
            </w:r>
          </w:p>
        </w:tc>
      </w:tr>
      <w:tr>
        <w:trPr>
          <w:cantSplit/>
        </w:trPr>
        <w:tc>
          <w:tcPr>
            <w:tcW w:type="dxa" w:w="66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auth/company</w:t>
            </w:r>
          </w:p>
        </w:tc>
        <w:tc>
          <w:tcPr>
            <w:tcW w:type="dxa" w:w="276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3</w:t>
            </w:r>
          </w:p>
        </w:tc>
      </w:tr>
      <w:tr>
        <w:trPr>
          <w:cantSplit/>
        </w:trPr>
        <w:tc>
          <w:tcPr>
            <w:tcW w:type="dxa" w:w="66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auth/employee</w:t>
            </w:r>
          </w:p>
        </w:tc>
        <w:tc>
          <w:tcPr>
            <w:tcW w:type="dxa" w:w="276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9</w:t>
            </w:r>
          </w:p>
        </w:tc>
      </w:tr>
      <w:tr>
        <w:trPr>
          <w:cantSplit/>
        </w:trPr>
        <w:tc>
          <w:tcPr>
            <w:tcW w:type="dxa" w:w="66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auth/renter</w:t>
            </w:r>
          </w:p>
        </w:tc>
        <w:tc>
          <w:tcPr>
            <w:tcW w:type="dxa" w:w="276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5</w:t>
            </w:r>
          </w:p>
        </w:tc>
      </w:tr>
      <w:tr>
        <w:trPr>
          <w:cantSplit/>
        </w:trPr>
        <w:tc>
          <w:tcPr>
            <w:tcW w:type="dxa" w:w="66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auth/unified</w:t>
            </w:r>
          </w:p>
        </w:tc>
        <w:tc>
          <w:tcPr>
            <w:tcW w:type="dxa" w:w="276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1</w:t>
            </w:r>
          </w:p>
        </w:tc>
      </w:tr>
      <w:tr>
        <w:trPr>
          <w:cantSplit/>
        </w:trPr>
        <w:tc>
          <w:tcPr>
            <w:tcW w:type="dxa" w:w="66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billing</w:t>
            </w:r>
          </w:p>
        </w:tc>
        <w:tc>
          <w:tcPr>
            <w:tcW w:type="dxa" w:w="276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4</w:t>
            </w:r>
          </w:p>
        </w:tc>
      </w:tr>
      <w:tr>
        <w:trPr>
          <w:cantSplit/>
        </w:trPr>
        <w:tc>
          <w:tcPr>
            <w:tcW w:type="dxa" w:w="66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carplace</w:t>
            </w:r>
          </w:p>
        </w:tc>
        <w:tc>
          <w:tcPr>
            <w:tcW w:type="dxa" w:w="276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17</w:t>
            </w:r>
          </w:p>
        </w:tc>
      </w:tr>
      <w:tr>
        <w:trPr>
          <w:cantSplit/>
        </w:trPr>
        <w:tc>
          <w:tcPr>
            <w:tcW w:type="dxa" w:w="66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companies</w:t>
            </w:r>
          </w:p>
        </w:tc>
        <w:tc>
          <w:tcPr>
            <w:tcW w:type="dxa" w:w="276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26</w:t>
            </w:r>
          </w:p>
        </w:tc>
      </w:tr>
      <w:tr>
        <w:trPr>
          <w:cantSplit/>
        </w:trPr>
        <w:tc>
          <w:tcPr>
            <w:tcW w:type="dxa" w:w="66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complaints</w:t>
            </w:r>
          </w:p>
        </w:tc>
        <w:tc>
          <w:tcPr>
            <w:tcW w:type="dxa" w:w="276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5</w:t>
            </w:r>
          </w:p>
        </w:tc>
      </w:tr>
      <w:tr>
        <w:trPr>
          <w:cantSplit/>
        </w:trPr>
        <w:tc>
          <w:tcPr>
            <w:tcW w:type="dxa" w:w="66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customers</w:t>
            </w:r>
          </w:p>
        </w:tc>
        <w:tc>
          <w:tcPr>
            <w:tcW w:type="dxa" w:w="276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10</w:t>
            </w:r>
          </w:p>
        </w:tc>
      </w:tr>
      <w:tr>
        <w:trPr>
          <w:cantSplit/>
        </w:trPr>
        <w:tc>
          <w:tcPr>
            <w:tcW w:type="dxa" w:w="66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licenses</w:t>
            </w:r>
          </w:p>
        </w:tc>
        <w:tc>
          <w:tcPr>
            <w:tcW w:type="dxa" w:w="276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1</w:t>
            </w:r>
          </w:p>
        </w:tc>
      </w:tr>
      <w:tr>
        <w:trPr>
          <w:cantSplit/>
        </w:trPr>
        <w:tc>
          <w:tcPr>
            <w:tcW w:type="dxa" w:w="66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notifications</w:t>
            </w:r>
          </w:p>
        </w:tc>
        <w:tc>
          <w:tcPr>
            <w:tcW w:type="dxa" w:w="276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12</w:t>
            </w:r>
          </w:p>
        </w:tc>
      </w:tr>
      <w:tr>
        <w:trPr>
          <w:cantSplit/>
        </w:trPr>
        <w:tc>
          <w:tcPr>
            <w:tcW w:type="dxa" w:w="66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offers</w:t>
            </w:r>
          </w:p>
        </w:tc>
        <w:tc>
          <w:tcPr>
            <w:tcW w:type="dxa" w:w="276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8</w:t>
            </w:r>
          </w:p>
        </w:tc>
      </w:tr>
      <w:tr>
        <w:trPr>
          <w:cantSplit/>
        </w:trPr>
        <w:tc>
          <w:tcPr>
            <w:tcW w:type="dxa" w:w="66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payments</w:t>
            </w:r>
          </w:p>
        </w:tc>
        <w:tc>
          <w:tcPr>
            <w:tcW w:type="dxa" w:w="276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9</w:t>
            </w:r>
          </w:p>
        </w:tc>
      </w:tr>
      <w:tr>
        <w:trPr>
          <w:cantSplit/>
        </w:trPr>
        <w:tc>
          <w:tcPr>
            <w:tcW w:type="dxa" w:w="66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reservations</w:t>
            </w:r>
          </w:p>
        </w:tc>
        <w:tc>
          <w:tcPr>
            <w:tcW w:type="dxa" w:w="276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18</w:t>
            </w:r>
          </w:p>
        </w:tc>
      </w:tr>
      <w:tr>
        <w:trPr>
          <w:cantSplit/>
        </w:trPr>
        <w:tc>
          <w:tcPr>
            <w:tcW w:type="dxa" w:w="66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reviews</w:t>
            </w:r>
          </w:p>
        </w:tc>
        <w:tc>
          <w:tcPr>
            <w:tcW w:type="dxa" w:w="276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5</w:t>
            </w:r>
          </w:p>
        </w:tc>
      </w:tr>
      <w:tr>
        <w:trPr>
          <w:cantSplit/>
        </w:trPr>
        <w:tc>
          <w:tcPr>
            <w:tcW w:type="dxa" w:w="66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search</w:t>
            </w:r>
          </w:p>
        </w:tc>
        <w:tc>
          <w:tcPr>
            <w:tcW w:type="dxa" w:w="276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1</w:t>
            </w:r>
          </w:p>
        </w:tc>
      </w:tr>
      <w:tr>
        <w:trPr>
          <w:cantSplit/>
        </w:trPr>
        <w:tc>
          <w:tcPr>
            <w:tcW w:type="dxa" w:w="66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site</w:t>
            </w:r>
          </w:p>
        </w:tc>
        <w:tc>
          <w:tcPr>
            <w:tcW w:type="dxa" w:w="276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14</w:t>
            </w:r>
          </w:p>
        </w:tc>
      </w:tr>
      <w:tr>
        <w:trPr>
          <w:cantSplit/>
        </w:trPr>
        <w:tc>
          <w:tcPr>
            <w:tcW w:type="dxa" w:w="66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subscriptions</w:t>
            </w:r>
          </w:p>
        </w:tc>
        <w:tc>
          <w:tcPr>
            <w:tcW w:type="dxa" w:w="276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17</w:t>
            </w:r>
          </w:p>
        </w:tc>
      </w:tr>
      <w:tr>
        <w:trPr>
          <w:cantSplit/>
        </w:trPr>
        <w:tc>
          <w:tcPr>
            <w:tcW w:type="dxa" w:w="66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team</w:t>
            </w:r>
          </w:p>
        </w:tc>
        <w:tc>
          <w:tcPr>
            <w:tcW w:type="dxa" w:w="276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7</w:t>
            </w:r>
          </w:p>
        </w:tc>
      </w:tr>
      <w:tr>
        <w:trPr>
          <w:cantSplit/>
        </w:trPr>
        <w:tc>
          <w:tcPr>
            <w:tcW w:type="dxa" w:w="66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vehicles</w:t>
            </w:r>
          </w:p>
        </w:tc>
        <w:tc>
          <w:tcPr>
            <w:tcW w:type="dxa" w:w="276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20</w:t>
            </w:r>
          </w:p>
        </w:tc>
      </w:tr>
      <w:tr>
        <w:trPr>
          <w:cantSplit/>
        </w:trPr>
        <w:tc>
          <w:tcPr>
            <w:tcW w:type="dxa" w:w="66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webhooks</w:t>
            </w:r>
          </w:p>
        </w:tc>
        <w:tc>
          <w:tcPr>
            <w:tcW w:type="dxa" w:w="276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1</w:t>
            </w:r>
          </w:p>
        </w:tc>
      </w:tr>
      <w:tr>
        <w:trPr>
          <w:cantSplit/>
        </w:trPr>
        <w:tc>
          <w:tcPr>
            <w:tcW w:type="dxa" w:w="66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Total</w:t>
            </w:r>
          </w:p>
        </w:tc>
        <w:tc>
          <w:tcPr>
            <w:tcW w:type="dxa" w:w="276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268</w:t>
            </w:r>
          </w:p>
        </w:tc>
      </w:tr>
    </w:tbl>
    <w:p>
      <w:pPr>
        <w:spacing w:after="20"/>
      </w:pPr>
    </w:p>
    <w:p>
      <w:pPr>
        <w:keepLines w:val="0"/>
      </w:pPr>
      <w:r>
        <w:rPr>
          <w:rFonts w:ascii="Calibri" w:hAnsi="Calibri" w:cs="Calibri"/>
          <w:b w:val="0"/>
          <w:i/>
          <w:color w:val="667085"/>
          <w:sz w:val="18"/>
        </w:rPr>
        <w:t>Handler count represents source-level HTTP method registrations. It is a surface-area measure, not a count of stable public API contracts. The manual OpenAPI file documents 158 operations, about 59% of this runtime count.</w:t>
      </w:r>
    </w:p>
    <w:p>
      <w:pPr>
        <w:pStyle w:val="Heading1"/>
      </w:pPr>
      <w:r>
        <w:t>Appendix D — Environment and configuration categories</w:t>
      </w:r>
    </w:p>
    <w:p>
      <w:pPr>
        <w:keepLines w:val="0"/>
      </w:pPr>
      <w:r>
        <w:rPr>
          <w:rFonts w:ascii="Calibri" w:hAnsi="Calibri" w:cs="Calibri"/>
          <w:b w:val="0"/>
          <w:i w:val="0"/>
        </w:rPr>
        <w:t>The implementation reads a broad set of environment variables. Values are intentionally excluded from this report. The production configuration contract should be centralized, typed, validated at startup, and separated by secret versus non-secret ownership.</w:t>
      </w:r>
    </w:p>
    <w:tbl>
      <w:tblPr>
        <w:tblW w:type="dxa" w:w="9360"/>
        <w:jc w:val="left"/>
        <w:tblLayout w:type="fixed"/>
        <w:tblLook w:firstColumn="1" w:firstRow="1" w:lastColumn="0" w:lastRow="0" w:noHBand="0" w:noVBand="1" w:val="04A0"/>
        <w:tblInd w:w="120" w:type="dxa"/>
        <w:tblBorders>
          <w:top w:val="single" w:sz="4" w:space="0" w:color="D0D5DD"/>
          <w:left w:val="single" w:sz="4" w:space="0" w:color="D0D5DD"/>
          <w:bottom w:val="single" w:sz="4" w:space="0" w:color="D0D5DD"/>
          <w:right w:val="single" w:sz="4" w:space="0" w:color="D0D5DD"/>
          <w:insideH w:val="single" w:sz="4" w:space="0" w:color="D0D5DD"/>
          <w:insideV w:val="single" w:sz="4" w:space="0" w:color="D0D5DD"/>
        </w:tblBorders>
      </w:tblPr>
      <w:tblGrid>
        <w:gridCol w:w="1700"/>
        <w:gridCol w:w="7660"/>
      </w:tblGrid>
      <w:tr>
        <w:trPr>
          <w:tblHeader w:val="true"/>
          <w:cantSplit/>
        </w:trPr>
        <w:tc>
          <w:tcPr>
            <w:tcW w:type="dxa" w:w="1700"/>
            <w:tcMar>
              <w:top w:w="80" w:type="dxa"/>
              <w:start w:w="120" w:type="dxa"/>
              <w:bottom w:w="80" w:type="dxa"/>
              <w:end w:w="120" w:type="dxa"/>
            </w:tcMar>
            <w:shd w:fill="F2F4F7"/>
            <w:vAlign w:val="center"/>
          </w:tcPr>
          <w:p>
            <w:pPr>
              <w:spacing w:before="0" w:after="0" w:line="252" w:lineRule="auto"/>
            </w:pPr>
            <w:r/>
            <w:r>
              <w:rPr>
                <w:rFonts w:ascii="Calibri" w:hAnsi="Calibri" w:cs="Calibri"/>
                <w:b/>
                <w:color w:val="0B2545"/>
                <w:sz w:val="17"/>
              </w:rPr>
              <w:t>Category</w:t>
            </w:r>
          </w:p>
        </w:tc>
        <w:tc>
          <w:tcPr>
            <w:tcW w:type="dxa" w:w="7660"/>
            <w:tcMar>
              <w:top w:w="80" w:type="dxa"/>
              <w:start w:w="120" w:type="dxa"/>
              <w:bottom w:w="80" w:type="dxa"/>
              <w:end w:w="120" w:type="dxa"/>
            </w:tcMar>
            <w:shd w:fill="F2F4F7"/>
            <w:vAlign w:val="center"/>
          </w:tcPr>
          <w:p>
            <w:pPr>
              <w:spacing w:before="0" w:after="0" w:line="252" w:lineRule="auto"/>
            </w:pPr>
            <w:r/>
            <w:r>
              <w:rPr>
                <w:rFonts w:ascii="Calibri" w:hAnsi="Calibri" w:cs="Calibri"/>
                <w:b/>
                <w:color w:val="0B2545"/>
                <w:sz w:val="17"/>
              </w:rPr>
              <w:t>Examples of configuration responsibility</w:t>
            </w:r>
          </w:p>
        </w:tc>
      </w:tr>
      <w:tr>
        <w:trPr>
          <w:cantSplit/>
        </w:trPr>
        <w:tc>
          <w:tcPr>
            <w:tcW w:type="dxa" w:w="17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Core runtime</w:t>
            </w:r>
          </w:p>
        </w:tc>
        <w:tc>
          <w:tcPr>
            <w:tcW w:type="dxa" w:w="766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Node environment, ports, public/application/API base URLs, trusted proxy/origins</w:t>
            </w:r>
          </w:p>
        </w:tc>
      </w:tr>
      <w:tr>
        <w:trPr>
          <w:cantSplit/>
        </w:trPr>
        <w:tc>
          <w:tcPr>
            <w:tcW w:type="dxa" w:w="17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Identity</w:t>
            </w:r>
          </w:p>
        </w:tc>
        <w:tc>
          <w:tcPr>
            <w:tcW w:type="dxa" w:w="766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JWT secret/issuer/audience policy, cookie names/domains, admin/employee/renter session settings</w:t>
            </w:r>
          </w:p>
        </w:tc>
      </w:tr>
      <w:tr>
        <w:trPr>
          <w:cantSplit/>
        </w:trPr>
        <w:tc>
          <w:tcPr>
            <w:tcW w:type="dxa" w:w="17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Data</w:t>
            </w:r>
          </w:p>
        </w:tc>
        <w:tc>
          <w:tcPr>
            <w:tcW w:type="dxa" w:w="766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PostgreSQL connection, Prisma behavior, Redis connection</w:t>
            </w:r>
          </w:p>
        </w:tc>
      </w:tr>
      <w:tr>
        <w:trPr>
          <w:cantSplit/>
        </w:trPr>
        <w:tc>
          <w:tcPr>
            <w:tcW w:type="dxa" w:w="17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Files</w:t>
            </w:r>
          </w:p>
        </w:tc>
        <w:tc>
          <w:tcPr>
            <w:tcW w:type="dxa" w:w="766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Storage root, public/private path behavior, upload limits</w:t>
            </w:r>
          </w:p>
        </w:tc>
      </w:tr>
      <w:tr>
        <w:trPr>
          <w:cantSplit/>
        </w:trPr>
        <w:tc>
          <w:tcPr>
            <w:tcW w:type="dxa" w:w="17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Payments</w:t>
            </w:r>
          </w:p>
        </w:tc>
        <w:tc>
          <w:tcPr>
            <w:tcW w:type="dxa" w:w="766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Stripe, PayPal, AmanPay keys/secrets, webhook secrets, return/cancel URLs</w:t>
            </w:r>
          </w:p>
        </w:tc>
      </w:tr>
      <w:tr>
        <w:trPr>
          <w:cantSplit/>
        </w:trPr>
        <w:tc>
          <w:tcPr>
            <w:tcW w:type="dxa" w:w="17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Email</w:t>
            </w:r>
          </w:p>
        </w:tc>
        <w:tc>
          <w:tcPr>
            <w:tcW w:type="dxa" w:w="766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Resend key/sender, SMTP host/port/user/password/sender</w:t>
            </w:r>
          </w:p>
        </w:tc>
      </w:tr>
      <w:tr>
        <w:trPr>
          <w:cantSplit/>
        </w:trPr>
        <w:tc>
          <w:tcPr>
            <w:tcW w:type="dxa" w:w="17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Realtime/jobs</w:t>
            </w:r>
          </w:p>
        </w:tc>
        <w:tc>
          <w:tcPr>
            <w:tcW w:type="dxa" w:w="766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Redis channels, cron toggles/schedules where configurable</w:t>
            </w:r>
          </w:p>
        </w:tc>
      </w:tr>
      <w:tr>
        <w:trPr>
          <w:cantSplit/>
        </w:trPr>
        <w:tc>
          <w:tcPr>
            <w:tcW w:type="dxa" w:w="17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Admin/ops</w:t>
            </w:r>
          </w:p>
        </w:tc>
        <w:tc>
          <w:tcPr>
            <w:tcW w:type="dxa" w:w="766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Swagger enablement, log settings, bootstrap/control-plane settings</w:t>
            </w:r>
          </w:p>
        </w:tc>
      </w:tr>
    </w:tbl>
    <w:p>
      <w:pPr>
        <w:spacing w:after="20"/>
      </w:pPr>
    </w:p>
    <w:p>
      <w:pPr>
        <w:pStyle w:val="Heading1"/>
      </w:pPr>
      <w:r>
        <w:t>Appendix E — Evidence index</w:t>
      </w:r>
    </w:p>
    <w:tbl>
      <w:tblPr>
        <w:tblW w:type="dxa" w:w="9360"/>
        <w:jc w:val="left"/>
        <w:tblLayout w:type="fixed"/>
        <w:tblLook w:firstColumn="1" w:firstRow="1" w:lastColumn="0" w:lastRow="0" w:noHBand="0" w:noVBand="1" w:val="04A0"/>
        <w:tblInd w:w="120" w:type="dxa"/>
        <w:tblBorders>
          <w:top w:val="single" w:sz="4" w:space="0" w:color="D0D5DD"/>
          <w:left w:val="single" w:sz="4" w:space="0" w:color="D0D5DD"/>
          <w:bottom w:val="single" w:sz="4" w:space="0" w:color="D0D5DD"/>
          <w:right w:val="single" w:sz="4" w:space="0" w:color="D0D5DD"/>
          <w:insideH w:val="single" w:sz="4" w:space="0" w:color="D0D5DD"/>
          <w:insideV w:val="single" w:sz="4" w:space="0" w:color="D0D5DD"/>
        </w:tblBorders>
      </w:tblPr>
      <w:tblGrid>
        <w:gridCol w:w="1900"/>
        <w:gridCol w:w="7460"/>
      </w:tblGrid>
      <w:tr>
        <w:trPr>
          <w:tblHeader w:val="true"/>
          <w:cantSplit/>
        </w:trPr>
        <w:tc>
          <w:tcPr>
            <w:tcW w:type="dxa" w:w="1900"/>
            <w:tcMar>
              <w:top w:w="80" w:type="dxa"/>
              <w:start w:w="120" w:type="dxa"/>
              <w:bottom w:w="80" w:type="dxa"/>
              <w:end w:w="120" w:type="dxa"/>
            </w:tcMar>
            <w:shd w:fill="F2F4F7"/>
            <w:vAlign w:val="center"/>
          </w:tcPr>
          <w:p>
            <w:pPr>
              <w:spacing w:before="0" w:after="0" w:line="252" w:lineRule="auto"/>
            </w:pPr>
            <w:r/>
            <w:r>
              <w:rPr>
                <w:rFonts w:ascii="Calibri" w:hAnsi="Calibri" w:cs="Calibri"/>
                <w:b/>
                <w:color w:val="0B2545"/>
                <w:sz w:val="16"/>
              </w:rPr>
              <w:t>Evidence area</w:t>
            </w:r>
          </w:p>
        </w:tc>
        <w:tc>
          <w:tcPr>
            <w:tcW w:type="dxa" w:w="7460"/>
            <w:tcMar>
              <w:top w:w="80" w:type="dxa"/>
              <w:start w:w="120" w:type="dxa"/>
              <w:bottom w:w="80" w:type="dxa"/>
              <w:end w:w="120" w:type="dxa"/>
            </w:tcMar>
            <w:shd w:fill="F2F4F7"/>
            <w:vAlign w:val="center"/>
          </w:tcPr>
          <w:p>
            <w:pPr>
              <w:spacing w:before="0" w:after="0" w:line="252" w:lineRule="auto"/>
            </w:pPr>
            <w:r/>
            <w:r>
              <w:rPr>
                <w:rFonts w:ascii="Calibri" w:hAnsi="Calibri" w:cs="Calibri"/>
                <w:b/>
                <w:color w:val="0B2545"/>
                <w:sz w:val="16"/>
              </w:rPr>
              <w:t>Representative paths</w:t>
            </w:r>
          </w:p>
        </w:tc>
      </w:tr>
      <w:tr>
        <w:trPr>
          <w:cantSplit/>
        </w:trPr>
        <w:tc>
          <w:tcPr>
            <w:tcW w:type="dxa" w:w="19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6"/>
              </w:rPr>
              <w:t>Monorepo and scripts</w:t>
            </w:r>
          </w:p>
        </w:tc>
        <w:tc>
          <w:tcPr>
            <w:tcW w:type="dxa" w:w="746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6"/>
              </w:rPr>
              <w:t>package.json; apps/*/package.json; packages/*/package.json</w:t>
            </w:r>
          </w:p>
        </w:tc>
      </w:tr>
      <w:tr>
        <w:trPr>
          <w:cantSplit/>
        </w:trPr>
        <w:tc>
          <w:tcPr>
            <w:tcW w:type="dxa" w:w="19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6"/>
              </w:rPr>
              <w:t>Frontend routing</w:t>
            </w:r>
          </w:p>
        </w:tc>
        <w:tc>
          <w:tcPr>
            <w:tcW w:type="dxa" w:w="746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6"/>
              </w:rPr>
              <w:t>apps/homepage/next.config.*; apps/dashboard/next.config.*; apps/admin/next.config.*; apps/carplace/next.config.*</w:t>
            </w:r>
          </w:p>
        </w:tc>
      </w:tr>
      <w:tr>
        <w:trPr>
          <w:cantSplit/>
        </w:trPr>
        <w:tc>
          <w:tcPr>
            <w:tcW w:type="dxa" w:w="19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6"/>
              </w:rPr>
              <w:t>API bootstrap</w:t>
            </w:r>
          </w:p>
        </w:tc>
        <w:tc>
          <w:tcPr>
            <w:tcW w:type="dxa" w:w="746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6"/>
              </w:rPr>
              <w:t>apps/api/src/app.ts; apps/api/src/index.ts</w:t>
            </w:r>
          </w:p>
        </w:tc>
      </w:tr>
      <w:tr>
        <w:trPr>
          <w:cantSplit/>
        </w:trPr>
        <w:tc>
          <w:tcPr>
            <w:tcW w:type="dxa" w:w="19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6"/>
              </w:rPr>
              <w:t>API modules</w:t>
            </w:r>
          </w:p>
        </w:tc>
        <w:tc>
          <w:tcPr>
            <w:tcW w:type="dxa" w:w="746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6"/>
              </w:rPr>
              <w:t>apps/api/src/modules/**</w:t>
            </w:r>
          </w:p>
        </w:tc>
      </w:tr>
      <w:tr>
        <w:trPr>
          <w:cantSplit/>
        </w:trPr>
        <w:tc>
          <w:tcPr>
            <w:tcW w:type="dxa" w:w="19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6"/>
              </w:rPr>
              <w:t>Auth and middleware</w:t>
            </w:r>
          </w:p>
        </w:tc>
        <w:tc>
          <w:tcPr>
            <w:tcW w:type="dxa" w:w="746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6"/>
              </w:rPr>
              <w:t>apps/api/src/middleware/**; apps/api/src/modules/auth/**; apps/api/src/modules/admin/**</w:t>
            </w:r>
          </w:p>
        </w:tc>
      </w:tr>
      <w:tr>
        <w:trPr>
          <w:cantSplit/>
        </w:trPr>
        <w:tc>
          <w:tcPr>
            <w:tcW w:type="dxa" w:w="19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6"/>
              </w:rPr>
              <w:t>Database</w:t>
            </w:r>
          </w:p>
        </w:tc>
        <w:tc>
          <w:tcPr>
            <w:tcW w:type="dxa" w:w="746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6"/>
              </w:rPr>
              <w:t>packages/database/prisma/schema.prisma; packages/database/prisma/migrations/**</w:t>
            </w:r>
          </w:p>
        </w:tc>
      </w:tr>
      <w:tr>
        <w:trPr>
          <w:cantSplit/>
        </w:trPr>
        <w:tc>
          <w:tcPr>
            <w:tcW w:type="dxa" w:w="19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6"/>
              </w:rPr>
              <w:t>Shared contracts/prices</w:t>
            </w:r>
          </w:p>
        </w:tc>
        <w:tc>
          <w:tcPr>
            <w:tcW w:type="dxa" w:w="746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6"/>
              </w:rPr>
              <w:t>packages/types/src/**</w:t>
            </w:r>
          </w:p>
        </w:tc>
      </w:tr>
      <w:tr>
        <w:trPr>
          <w:cantSplit/>
        </w:trPr>
        <w:tc>
          <w:tcPr>
            <w:tcW w:type="dxa" w:w="19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6"/>
              </w:rPr>
              <w:t>Payments/webhooks</w:t>
            </w:r>
          </w:p>
        </w:tc>
        <w:tc>
          <w:tcPr>
            <w:tcW w:type="dxa" w:w="746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6"/>
              </w:rPr>
              <w:t>apps/api/src/modules/payments/**; apps/api/src/modules/webhooks/**; billing/subscription provider code</w:t>
            </w:r>
          </w:p>
        </w:tc>
      </w:tr>
      <w:tr>
        <w:trPr>
          <w:cantSplit/>
        </w:trPr>
        <w:tc>
          <w:tcPr>
            <w:tcW w:type="dxa" w:w="19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6"/>
              </w:rPr>
              <w:t>Notifications/realtime</w:t>
            </w:r>
          </w:p>
        </w:tc>
        <w:tc>
          <w:tcPr>
            <w:tcW w:type="dxa" w:w="746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6"/>
              </w:rPr>
              <w:t>apps/api/src/modules/notifications/**; Socket.IO/Redis bootstrap in apps/api/src/index.ts</w:t>
            </w:r>
          </w:p>
        </w:tc>
      </w:tr>
      <w:tr>
        <w:trPr>
          <w:cantSplit/>
        </w:trPr>
        <w:tc>
          <w:tcPr>
            <w:tcW w:type="dxa" w:w="19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6"/>
              </w:rPr>
              <w:t>Storage/uploads</w:t>
            </w:r>
          </w:p>
        </w:tc>
        <w:tc>
          <w:tcPr>
            <w:tcW w:type="dxa" w:w="746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6"/>
              </w:rPr>
              <w:t>apps/api source storage routes/services and upload validation middleware</w:t>
            </w:r>
          </w:p>
        </w:tc>
      </w:tr>
      <w:tr>
        <w:trPr>
          <w:cantSplit/>
        </w:trPr>
        <w:tc>
          <w:tcPr>
            <w:tcW w:type="dxa" w:w="19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6"/>
              </w:rPr>
              <w:t>Container feature</w:t>
            </w:r>
          </w:p>
        </w:tc>
        <w:tc>
          <w:tcPr>
            <w:tcW w:type="dxa" w:w="746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6"/>
              </w:rPr>
              <w:t>apps/api container service; admin container UI; placeholder container migration; Prisma schema</w:t>
            </w:r>
          </w:p>
        </w:tc>
      </w:tr>
      <w:tr>
        <w:trPr>
          <w:cantSplit/>
        </w:trPr>
        <w:tc>
          <w:tcPr>
            <w:tcW w:type="dxa" w:w="19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6"/>
              </w:rPr>
              <w:t>OpenAPI</w:t>
            </w:r>
          </w:p>
        </w:tc>
        <w:tc>
          <w:tcPr>
            <w:tcW w:type="dxa" w:w="746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6"/>
              </w:rPr>
              <w:t>apps/api source OpenAPI/Swagger definition</w:t>
            </w:r>
          </w:p>
        </w:tc>
      </w:tr>
      <w:tr>
        <w:trPr>
          <w:cantSplit/>
        </w:trPr>
        <w:tc>
          <w:tcPr>
            <w:tcW w:type="dxa" w:w="19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6"/>
              </w:rPr>
              <w:t>Tests</w:t>
            </w:r>
          </w:p>
        </w:tc>
        <w:tc>
          <w:tcPr>
            <w:tcW w:type="dxa" w:w="746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6"/>
              </w:rPr>
              <w:t>apps/* test files and Vitest/Playwright configurations</w:t>
            </w:r>
          </w:p>
        </w:tc>
      </w:tr>
    </w:tbl>
    <w:p>
      <w:pPr>
        <w:spacing w:after="20"/>
      </w:pPr>
    </w:p>
    <w:p>
      <w:pPr>
        <w:pStyle w:val="Heading1"/>
      </w:pPr>
      <w:r>
        <w:t>Appendix F — Next diligence checkpoint</w:t>
      </w:r>
    </w:p>
    <w:p>
      <w:pPr>
        <w:keepLines/>
        <w:numPr>
          <w:ilvl w:val="0"/>
          <w:numId w:val="10"/>
        </w:numPr>
        <w:spacing w:after="160" w:line="280" w:lineRule="auto"/>
      </w:pPr>
      <w:r>
        <w:rPr>
          <w:rFonts w:ascii="Calibri" w:hAnsi="Calibri" w:cs="Calibri"/>
        </w:rPr>
        <w:t>A clean checkout builds and tests on the documented Node/npm versions with no local repair steps.</w:t>
      </w:r>
    </w:p>
    <w:p>
      <w:pPr>
        <w:keepLines/>
        <w:numPr>
          <w:ilvl w:val="0"/>
          <w:numId w:val="10"/>
        </w:numPr>
        <w:spacing w:after="160" w:line="280" w:lineRule="auto"/>
      </w:pPr>
      <w:r>
        <w:rPr>
          <w:rFonts w:ascii="Calibri" w:hAnsi="Calibri" w:cs="Calibri"/>
        </w:rPr>
        <w:t>Production dependency scanning has no unresolved critical/high findings outside a formally approved, time-bounded exception.</w:t>
      </w:r>
    </w:p>
    <w:p>
      <w:pPr>
        <w:keepLines/>
        <w:numPr>
          <w:ilvl w:val="0"/>
          <w:numId w:val="10"/>
        </w:numPr>
        <w:spacing w:after="160" w:line="280" w:lineRule="auto"/>
      </w:pPr>
      <w:r>
        <w:rPr>
          <w:rFonts w:ascii="Calibri" w:hAnsi="Calibri" w:cs="Calibri"/>
        </w:rPr>
        <w:t>Two API replicas pass booking/payment/job/notification/file correctness tests using shared coordination and durable storage.</w:t>
      </w:r>
    </w:p>
    <w:p>
      <w:pPr>
        <w:keepLines/>
        <w:numPr>
          <w:ilvl w:val="0"/>
          <w:numId w:val="10"/>
        </w:numPr>
        <w:spacing w:after="160" w:line="280" w:lineRule="auto"/>
      </w:pPr>
      <w:r>
        <w:rPr>
          <w:rFonts w:ascii="Calibri" w:hAnsi="Calibri" w:cs="Calibri"/>
        </w:rPr>
        <w:t>All public and privileged routes are represented in an authoritative API contract and authorization test matrix.</w:t>
      </w:r>
    </w:p>
    <w:p>
      <w:pPr>
        <w:keepLines/>
        <w:numPr>
          <w:ilvl w:val="0"/>
          <w:numId w:val="10"/>
        </w:numPr>
        <w:spacing w:after="160" w:line="280" w:lineRule="auto"/>
      </w:pPr>
      <w:r>
        <w:rPr>
          <w:rFonts w:ascii="Calibri" w:hAnsi="Calibri" w:cs="Calibri"/>
        </w:rPr>
        <w:t>A restore exercise proves database and object recovery within approved RPO/RTO; evidence is retained.</w:t>
      </w:r>
    </w:p>
    <w:p>
      <w:pPr>
        <w:keepLines/>
        <w:numPr>
          <w:ilvl w:val="0"/>
          <w:numId w:val="10"/>
        </w:numPr>
        <w:spacing w:after="160" w:line="280" w:lineRule="auto"/>
      </w:pPr>
      <w:r>
        <w:rPr>
          <w:rFonts w:ascii="Calibri" w:hAnsi="Calibri" w:cs="Calibri"/>
        </w:rPr>
        <w:t>Critical-path logs, metrics, traces, dashboards, alerts, and on-call runbooks are demonstrated in a failure exercise.</w:t>
      </w:r>
    </w:p>
    <w:p>
      <w:pPr>
        <w:keepLines/>
        <w:numPr>
          <w:ilvl w:val="0"/>
          <w:numId w:val="10"/>
        </w:numPr>
        <w:spacing w:after="160" w:line="280" w:lineRule="auto"/>
      </w:pPr>
      <w:r>
        <w:rPr>
          <w:rFonts w:ascii="Calibri" w:hAnsi="Calibri" w:cs="Calibri"/>
        </w:rPr>
        <w:t>Privacy and sensitive-data controls cover classification, encryption, retention/deletion, privileged reads, exports, and incident response.</w:t>
      </w:r>
    </w:p>
    <w:p>
      <w:pPr>
        <w:keepLines/>
        <w:numPr>
          <w:ilvl w:val="0"/>
          <w:numId w:val="10"/>
        </w:numPr>
        <w:spacing w:after="160" w:line="280" w:lineRule="auto"/>
      </w:pPr>
      <w:r>
        <w:rPr>
          <w:rFonts w:ascii="Calibri" w:hAnsi="Calibri" w:cs="Calibri"/>
        </w:rPr>
        <w:t>The commercial plan catalog, checkout, billing, and entitlement enforcement are generated from one controlled source of truth.</w:t>
      </w:r>
    </w:p>
    <w:p>
      <w:pPr>
        <w:keepLines/>
        <w:numPr>
          <w:ilvl w:val="0"/>
          <w:numId w:val="10"/>
        </w:numPr>
        <w:spacing w:after="160" w:line="280" w:lineRule="auto"/>
      </w:pPr>
      <w:r>
        <w:rPr>
          <w:rFonts w:ascii="Calibri" w:hAnsi="Calibri" w:cs="Calibri"/>
        </w:rPr>
        <w:t>Independent security testing closes all critical/high findings or records explicit time-bounded acceptance by accountable owners.</w:t>
      </w:r>
    </w:p>
    <w:p>
      <w:pPr>
        <w:keepLines w:val="0"/>
        <w:spacing w:before="480" w:after="0"/>
        <w:jc w:val="center"/>
      </w:pPr>
      <w:r>
        <w:rPr>
          <w:rFonts w:ascii="Calibri" w:hAnsi="Calibri" w:cs="Calibri"/>
          <w:b/>
          <w:i w:val="0"/>
          <w:color w:val="667085"/>
          <w:sz w:val="20"/>
        </w:rPr>
        <w:t>End of report</w:t>
      </w:r>
    </w:p>
    <w:sectPr w:rsidR="00FC693F" w:rsidRPr="0006063C" w:rsidSect="00034616">
      <w:headerReference w:type="default" r:id="rId9"/>
      <w:footerReference w:type="default" r:id="rId10"/>
      <w:pgSz w:w="12240" w:h="15840"/>
      <w:pgMar w:top="1440" w:right="1440" w:bottom="1440" w:left="144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spacing w:before="60"/>
      <w:jc w:val="right"/>
      <w:pBdr>
        <w:top w:val="single" w:sz="4" w:space="4" w:color="D0D5DD"/>
      </w:pBdr>
    </w:pPr>
    <w:r>
      <w:rPr>
        <w:rFonts w:ascii="Calibri" w:hAnsi="Calibri" w:cs="Calibri"/>
        <w:color w:val="667085"/>
        <w:sz w:val="16"/>
      </w:rPr>
      <w:t xml:space="preserve">CONFIDENTIAL  •  AUGUST 2026    |    </w:t>
    </w:r>
    <w:r>
      <w:fldChar w:fldCharType="begin"/>
      <w:instrText xml:space="preserve">PAGE</w:instrText>
      <w:fldChar w:fldCharType="end"/>
    </w:r>
    <w:r>
      <w:rPr>
        <w:rFonts w:ascii="Calibri" w:hAnsi="Calibri" w:cs="Calibri"/>
        <w:color w:val="667085"/>
        <w:sz w:val="16"/>
      </w:rPr>
      <w:t xml:space="preserve"> / </w:t>
    </w:r>
    <w:r>
      <w:fldChar w:fldCharType="begin"/>
      <w:instrText xml:space="preserve">NUMPAGES</w:instrText>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spacing w:after="60"/>
      <w:jc w:val="left"/>
      <w:pBdr>
        <w:bottom w:val="single" w:sz="4" w:space="4" w:color="D0D5DD"/>
      </w:pBdr>
    </w:pPr>
    <w:r>
      <w:rPr>
        <w:rFonts w:ascii="Calibri" w:hAnsi="Calibri" w:cs="Calibri"/>
        <w:b/>
        <w:color w:val="667085"/>
        <w:sz w:val="17"/>
      </w:rPr>
      <w:t>RENTALDRIVEGO  |  TECHNICAL DUE DILIGENCE</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abstractNum w:abstractNumId="9">
    <w:multiLevelType w:val="multilevel"/>
    <w:lvl w:ilvl="0">
      <w:start w:val="1"/>
      <w:numFmt w:val="bullet"/>
      <w:lvlText w:val="•"/>
      <w:lvlJc w:val="left"/>
      <w:pPr>
        <w:tabs>
          <w:tab w:val="num" w:pos="720"/>
        </w:tabs>
        <w:ind w:left="720" w:hanging="360"/>
        <w:spacing w:after="160" w:line="280" w:lineRule="auto"/>
      </w:pPr>
      <w:rPr>
        <w:rFonts w:ascii="Calibri" w:hAnsi="Calibri"/>
      </w:rPr>
    </w:lvl>
    <w:lvl w:ilvl="1">
      <w:start w:val="1"/>
      <w:numFmt w:val="bullet"/>
      <w:lvlText w:val="–"/>
      <w:lvlJc w:val="left"/>
      <w:pPr>
        <w:tabs>
          <w:tab w:val="num" w:pos="1080"/>
        </w:tabs>
        <w:ind w:left="1080" w:hanging="360"/>
        <w:spacing w:after="160" w:line="280" w:lineRule="auto"/>
      </w:pPr>
      <w:rPr>
        <w:rFonts w:ascii="Calibri" w:hAnsi="Calibri"/>
      </w:rPr>
    </w:lvl>
    <w:lvl w:ilvl="2">
      <w:start w:val="1"/>
      <w:numFmt w:val="bullet"/>
      <w:lvlText w:val="–"/>
      <w:lvlJc w:val="left"/>
      <w:pPr>
        <w:tabs>
          <w:tab w:val="num" w:pos="1440"/>
        </w:tabs>
        <w:ind w:left="1440" w:hanging="360"/>
        <w:spacing w:after="160" w:line="280" w:lineRule="auto"/>
      </w:pPr>
      <w:rPr>
        <w:rFonts w:ascii="Calibri" w:hAnsi="Calibri"/>
      </w:rPr>
    </w:lvl>
  </w:abstractNum>
  <w:abstractNum w:abstractNumId="10">
    <w:multiLevelType w:val="multilevel"/>
    <w:lvl w:ilvl="0">
      <w:start w:val="1"/>
      <w:numFmt w:val="decimal"/>
      <w:lvlText w:val="%1."/>
      <w:lvlJc w:val="left"/>
      <w:pPr>
        <w:tabs>
          <w:tab w:val="num" w:pos="720"/>
        </w:tabs>
        <w:ind w:left="720" w:hanging="360"/>
        <w:spacing w:after="160" w:line="280" w:lineRule="auto"/>
      </w:pPr>
    </w:lvl>
    <w:lvl w:ilvl="1">
      <w:start w:val="1"/>
      <w:numFmt w:val="decimal"/>
      <w:lvlText w:val="%2."/>
      <w:lvlJc w:val="left"/>
      <w:pPr>
        <w:tabs>
          <w:tab w:val="num" w:pos="1080"/>
        </w:tabs>
        <w:ind w:left="1080" w:hanging="360"/>
        <w:spacing w:after="160" w:line="280" w:lineRule="auto"/>
      </w:pPr>
    </w:lvl>
    <w:lvl w:ilvl="2">
      <w:start w:val="1"/>
      <w:numFmt w:val="decimal"/>
      <w:lvlText w:val="%3."/>
      <w:lvlJc w:val="left"/>
      <w:pPr>
        <w:tabs>
          <w:tab w:val="num" w:pos="1440"/>
        </w:tabs>
        <w:ind w:left="1440" w:hanging="360"/>
        <w:spacing w:after="160" w:line="280" w:lineRule="auto"/>
      </w:pPr>
    </w:lvl>
  </w:abstractNum>
  <w:num w:numId="10">
    <w:abstractNumId w:val="9"/>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updateFields w:val="tru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before="0" w:after="120" w:line="264" w:lineRule="auto"/>
    </w:pPr>
    <w:rPr>
      <w:rFonts w:ascii="Calibri" w:hAnsi="Calibri"/>
      <w:color w:val="101828"/>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320" w:after="160"/>
      <w:outlineLvl w:val="0"/>
    </w:pPr>
    <w:rPr>
      <w:rFonts w:asciiTheme="majorHAnsi" w:eastAsiaTheme="majorEastAsia" w:hAnsiTheme="majorHAnsi" w:cstheme="majorBidi" w:ascii="Calibri" w:hAnsi="Calibri"/>
      <w:b/>
      <w:bCs/>
      <w:color w:val="2E74B5"/>
      <w:sz w:val="32"/>
      <w:szCs w:val="28"/>
    </w:rPr>
  </w:style>
  <w:style w:type="paragraph" w:styleId="Heading2">
    <w:name w:val="heading 2"/>
    <w:basedOn w:val="Normal"/>
    <w:next w:val="Normal"/>
    <w:link w:val="Heading2Char"/>
    <w:uiPriority w:val="9"/>
    <w:unhideWhenUsed/>
    <w:qFormat/>
    <w:rsid w:val="00FC693F"/>
    <w:pPr>
      <w:keepNext/>
      <w:keepLines/>
      <w:spacing w:before="240" w:after="120"/>
      <w:outlineLvl w:val="1"/>
    </w:pPr>
    <w:rPr>
      <w:rFonts w:asciiTheme="majorHAnsi" w:eastAsiaTheme="majorEastAsia" w:hAnsiTheme="majorHAnsi" w:cstheme="majorBidi" w:ascii="Calibri" w:hAnsi="Calibri"/>
      <w:b/>
      <w:bCs/>
      <w:color w:val="2E74B5"/>
      <w:sz w:val="26"/>
      <w:szCs w:val="26"/>
    </w:rPr>
  </w:style>
  <w:style w:type="paragraph" w:styleId="Heading3">
    <w:name w:val="heading 3"/>
    <w:basedOn w:val="Normal"/>
    <w:next w:val="Normal"/>
    <w:link w:val="Heading3Char"/>
    <w:uiPriority w:val="9"/>
    <w:unhideWhenUsed/>
    <w:qFormat/>
    <w:rsid w:val="00FC693F"/>
    <w:pPr>
      <w:keepNext/>
      <w:keepLines/>
      <w:spacing w:before="160" w:after="80"/>
      <w:outlineLvl w:val="2"/>
    </w:pPr>
    <w:rPr>
      <w:rFonts w:asciiTheme="majorHAnsi" w:eastAsiaTheme="majorEastAsia" w:hAnsiTheme="majorHAnsi" w:cstheme="majorBidi" w:ascii="Calibri" w:hAnsi="Calibri"/>
      <w:b/>
      <w:bCs/>
      <w:color w:val="1F4D78"/>
      <w:sz w:val="24"/>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before="80" w:after="160"/>
      <w:jc w:val="center"/>
    </w:pPr>
    <w:rPr>
      <w:rFonts w:ascii="Calibri" w:hAnsi="Calibri"/>
      <w:b/>
      <w:bCs/>
      <w:i/>
      <w:color w:val="667085"/>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 Id="rId11" Type="http://schemas.openxmlformats.org/officeDocument/2006/relationships/image" Target="media/image1.png"/><Relationship Id="rId12" Type="http://schemas.openxmlformats.org/officeDocument/2006/relationships/image" Target="media/image2.png"/><Relationship Id="rId13" Type="http://schemas.openxmlformats.org/officeDocument/2006/relationships/image" Target="media/image3.png"/><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RentalDriveGo Technical Architecture &amp; Investor Due Diligence</dc:title>
  <dc:subject>Architecture, security, operations, scalability, and investment risk assessment</dc:subject>
  <dc:creator>Technical Due Diligence Review</dc:creator>
  <cp:keywords>RentalDriveGo, architecture, investor due diligence, SaaS, security, scalability</cp:keywords>
  <dc:description>generated by python-docx</dc:description>
  <cp:lastModifiedBy/>
  <cp:revision>1</cp:revision>
  <dcterms:created xsi:type="dcterms:W3CDTF">2013-12-23T23:15:00Z</dcterms:created>
  <dcterms:modified xsi:type="dcterms:W3CDTF">2013-12-23T23:15:00Z</dcterms:modified>
  <cp:category/>
</cp:coreProperties>
</file>